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376" w:rsidRPr="003A28A6" w:rsidRDefault="003A28A6" w:rsidP="003A28A6">
      <w:pPr>
        <w:jc w:val="center"/>
        <w:rPr>
          <w:sz w:val="32"/>
        </w:rPr>
      </w:pPr>
      <w:r w:rsidRPr="003A28A6">
        <w:rPr>
          <w:sz w:val="32"/>
        </w:rPr>
        <w:t>Take Home Exam 2</w:t>
      </w:r>
    </w:p>
    <w:p w:rsidR="003A28A6" w:rsidRDefault="003A28A6" w:rsidP="003A28A6">
      <w:pPr>
        <w:jc w:val="center"/>
      </w:pPr>
    </w:p>
    <w:p w:rsidR="003A28A6" w:rsidRDefault="003A28A6" w:rsidP="003A28A6">
      <w:pPr>
        <w:pStyle w:val="ListParagraph"/>
        <w:numPr>
          <w:ilvl w:val="0"/>
          <w:numId w:val="1"/>
        </w:numPr>
      </w:pPr>
      <w:r>
        <w:t xml:space="preserve">The </w:t>
      </w:r>
      <w:r w:rsidR="00B378FA">
        <w:t>frequency distribution of the value x</w:t>
      </w:r>
      <w:r>
        <w:t xml:space="preserve"> of a polygenic trait follows a bell curve</w:t>
      </w:r>
      <w:r w:rsidR="009566D4">
        <w:t xml:space="preserve"> because most of the values cluster around an average, with only a few individuals clustered towards the extreme values. The reason for this is because polygenic traits involve </w:t>
      </w:r>
      <w:r w:rsidR="00FA5266">
        <w:t>multiple</w:t>
      </w:r>
      <w:r w:rsidR="009566D4">
        <w:t xml:space="preserve"> genes with each gene contributing only</w:t>
      </w:r>
      <w:r w:rsidR="00FA5266">
        <w:t xml:space="preserve"> a</w:t>
      </w:r>
      <w:r w:rsidR="009566D4">
        <w:t xml:space="preserve"> small amount toward the phenotype. There would be a large number of possible combinations of</w:t>
      </w:r>
      <w:r w:rsidR="00FA5266">
        <w:t xml:space="preserve"> alleles and therefore</w:t>
      </w:r>
      <w:r w:rsidR="009566D4">
        <w:t xml:space="preserve"> phenotypes, but the combination of dominant and recessive alleles would eventually average out and follow a bell curve distribution</w:t>
      </w:r>
      <w:r w:rsidR="003C7F2D">
        <w:t>, following the central limit theorem</w:t>
      </w:r>
      <w:r w:rsidR="00DA7C30">
        <w:t xml:space="preserve"> (Figure 1)</w:t>
      </w:r>
      <w:r w:rsidR="009566D4">
        <w:t>.</w:t>
      </w:r>
      <w:r w:rsidR="00FA5266">
        <w:t xml:space="preserve"> </w:t>
      </w:r>
      <w:r w:rsidR="00DA7C30">
        <w:t>In contrast, a phenotype with only a single gene would have a defined mean towards one end of the spectrum and the frequency would be much higher towards the dominant end of the spectrum (Figure 2).</w:t>
      </w:r>
    </w:p>
    <w:p w:rsidR="00FB0D96" w:rsidRDefault="00FB0D96" w:rsidP="00C24BC9">
      <w:pPr>
        <w:pStyle w:val="ListParagraph"/>
        <w:numPr>
          <w:ilvl w:val="0"/>
          <w:numId w:val="1"/>
        </w:numPr>
      </w:pPr>
      <w:r>
        <w:t>For this situation, the null hypothesis would be that the mean of the normally distributed population is equal to 45mm. The alternate hypothesis that would be tested is that the mean of the population has shifted to be greater than 45mm.</w:t>
      </w:r>
    </w:p>
    <w:p w:rsidR="00FA5266" w:rsidRDefault="00CB426E" w:rsidP="00FB0D96">
      <w:pPr>
        <w:pStyle w:val="ListParagraph"/>
      </w:pPr>
      <w:r>
        <w:t xml:space="preserve">To test the skeptic’s claim, we would have to find the p-value within the </w:t>
      </w:r>
      <w:r w:rsidR="001218A7">
        <w:t xml:space="preserve">normal </w:t>
      </w:r>
      <w:r>
        <w:t xml:space="preserve">distribution of </w:t>
      </w:r>
      <w:r w:rsidR="001218A7">
        <w:t xml:space="preserve">the population mean. </w:t>
      </w:r>
      <w:r w:rsidR="00DA0ADB">
        <w:t xml:space="preserve">To find the distribution of the mean, we would use the Central Limit Theorem. If the P value is lower than the significance level chosen, such as 0.05, then we would reject the null hypothesis and accept the alternate hypothesis that evolution has occurred. </w:t>
      </w:r>
    </w:p>
    <w:p w:rsidR="00590CB0" w:rsidRDefault="005F62A4" w:rsidP="00590CB0">
      <w:pPr>
        <w:pStyle w:val="ListParagraph"/>
        <w:numPr>
          <w:ilvl w:val="0"/>
          <w:numId w:val="1"/>
        </w:numPr>
      </w:pPr>
      <w:r>
        <w:t xml:space="preserve">A. When ΔT=50, </w:t>
      </w:r>
      <w:proofErr w:type="gramStart"/>
      <w:r>
        <w:t>N(</w:t>
      </w:r>
      <w:proofErr w:type="gramEnd"/>
      <w:r>
        <w:t>t1)= 7.4, N(t2)= 14.8, the intrinsic rate of growth (r) would be…</w:t>
      </w:r>
    </w:p>
    <w:p w:rsidR="005F62A4" w:rsidRDefault="005F62A4" w:rsidP="005F62A4">
      <w:pPr>
        <w:ind w:left="1440"/>
      </w:pPr>
      <w:proofErr w:type="gramStart"/>
      <w:r>
        <w:t>ln(</w:t>
      </w:r>
      <w:proofErr w:type="gramEnd"/>
      <w:r>
        <w:t xml:space="preserve">N(t2)) – ln(N(t1))/t2-t1 = r  </w:t>
      </w:r>
      <w:r w:rsidRPr="00CB046F">
        <w:rPr>
          <w:u w:val="single"/>
        </w:rPr>
        <w:t>r= 0.0139</w:t>
      </w:r>
    </w:p>
    <w:p w:rsidR="005F62A4" w:rsidRDefault="005F62A4" w:rsidP="005F62A4">
      <w:pPr>
        <w:ind w:firstLine="720"/>
      </w:pPr>
      <w:r>
        <w:t>The projected population for year 2040 would be…</w:t>
      </w:r>
      <w:r w:rsidR="00034E95">
        <w:t xml:space="preserve"> </w:t>
      </w:r>
    </w:p>
    <w:p w:rsidR="005F62A4" w:rsidRDefault="005F62A4" w:rsidP="005F62A4">
      <w:pPr>
        <w:ind w:firstLine="720"/>
        <w:rPr>
          <w:u w:val="single"/>
        </w:rPr>
      </w:pPr>
      <w:r>
        <w:tab/>
      </w:r>
      <w:proofErr w:type="gramStart"/>
      <w:r>
        <w:t>N(</w:t>
      </w:r>
      <w:proofErr w:type="gramEnd"/>
      <w:r>
        <w:t>t)= N</w:t>
      </w:r>
      <w:r w:rsidRPr="005F62A4">
        <w:rPr>
          <w:vertAlign w:val="subscript"/>
        </w:rPr>
        <w:t>o</w:t>
      </w:r>
      <w:r>
        <w:t xml:space="preserve">e </w:t>
      </w:r>
      <w:r w:rsidRPr="005F62A4">
        <w:rPr>
          <w:vertAlign w:val="superscript"/>
        </w:rPr>
        <w:t>r*t</w:t>
      </w:r>
      <w:r>
        <w:rPr>
          <w:vertAlign w:val="superscript"/>
        </w:rPr>
        <w:t xml:space="preserve">      </w:t>
      </w:r>
      <w:r>
        <w:t xml:space="preserve"> 7.4*e</w:t>
      </w:r>
      <w:r>
        <w:rPr>
          <w:vertAlign w:val="superscript"/>
        </w:rPr>
        <w:t>0.0139*</w:t>
      </w:r>
      <w:r w:rsidR="00CB046F">
        <w:rPr>
          <w:vertAlign w:val="superscript"/>
        </w:rPr>
        <w:t xml:space="preserve">24 </w:t>
      </w:r>
      <w:r w:rsidR="00CB046F">
        <w:t xml:space="preserve">= </w:t>
      </w:r>
      <w:r w:rsidR="00CB046F" w:rsidRPr="00CB046F">
        <w:rPr>
          <w:u w:val="single"/>
        </w:rPr>
        <w:t>10.33</w:t>
      </w:r>
      <w:r w:rsidR="00486727">
        <w:rPr>
          <w:u w:val="single"/>
        </w:rPr>
        <w:t xml:space="preserve"> billion</w:t>
      </w:r>
    </w:p>
    <w:p w:rsidR="00CB046F" w:rsidRDefault="00CB046F" w:rsidP="005F62A4">
      <w:pPr>
        <w:ind w:firstLine="720"/>
      </w:pPr>
      <w:proofErr w:type="gramStart"/>
      <w:r w:rsidRPr="00CB046F">
        <w:t>B.</w:t>
      </w:r>
      <w:r>
        <w:t xml:space="preserve"> </w:t>
      </w:r>
      <w:r w:rsidR="00486727">
        <w:t xml:space="preserve"> r</w:t>
      </w:r>
      <w:proofErr w:type="gramEnd"/>
      <w:r w:rsidR="00486727">
        <w:t>= ln(N(t2)) – ln(N(t1))/t2-t1 = ln(</w:t>
      </w:r>
      <w:r w:rsidR="001107E8">
        <w:t>3</w:t>
      </w:r>
      <w:r w:rsidR="00486727">
        <w:t>250</w:t>
      </w:r>
      <w:r w:rsidR="001107E8">
        <w:t>) – ln(3000</w:t>
      </w:r>
      <w:r w:rsidR="00486727">
        <w:t>)/</w:t>
      </w:r>
      <w:r w:rsidR="001107E8">
        <w:t>1</w:t>
      </w:r>
      <w:r w:rsidR="00486727">
        <w:t xml:space="preserve"> = </w:t>
      </w:r>
      <w:r w:rsidR="001107E8">
        <w:t xml:space="preserve"> r= 0.08</w:t>
      </w:r>
    </w:p>
    <w:p w:rsidR="001107E8" w:rsidRDefault="001107E8" w:rsidP="005F62A4">
      <w:pPr>
        <w:ind w:firstLine="720"/>
      </w:pPr>
      <w:proofErr w:type="gramStart"/>
      <w:r>
        <w:t>N(</w:t>
      </w:r>
      <w:proofErr w:type="gramEnd"/>
      <w:r>
        <w:t xml:space="preserve">t)= 3000e </w:t>
      </w:r>
      <w:r>
        <w:rPr>
          <w:vertAlign w:val="superscript"/>
        </w:rPr>
        <w:t xml:space="preserve">0.08*6    </w:t>
      </w:r>
      <w:r w:rsidR="00FB7602">
        <w:rPr>
          <w:vertAlign w:val="superscript"/>
        </w:rPr>
        <w:t xml:space="preserve"> </w:t>
      </w:r>
      <w:r>
        <w:t>N(t) = 4,848.22</w:t>
      </w:r>
      <w:r w:rsidR="008578E1">
        <w:t xml:space="preserve"> beetles</w:t>
      </w:r>
    </w:p>
    <w:p w:rsidR="00D704DC" w:rsidRDefault="00D704DC" w:rsidP="005F62A4">
      <w:pPr>
        <w:ind w:firstLine="720"/>
      </w:pPr>
      <w:r>
        <w:t xml:space="preserve">C. </w:t>
      </w:r>
      <w:r w:rsidR="00DB250C">
        <w:t>r=0.5047</w:t>
      </w:r>
    </w:p>
    <w:p w:rsidR="00DB250C" w:rsidRDefault="00DB250C" w:rsidP="005F62A4">
      <w:pPr>
        <w:ind w:firstLine="720"/>
      </w:pPr>
      <w:r>
        <w:t xml:space="preserve">D. </w:t>
      </w:r>
      <w:r>
        <w:tab/>
        <w:t xml:space="preserve">No=100, Ne=112, </w:t>
      </w:r>
      <w:proofErr w:type="gramStart"/>
      <w:r>
        <w:t>ln(</w:t>
      </w:r>
      <w:proofErr w:type="gramEnd"/>
      <w:r>
        <w:t xml:space="preserve">N(t2)) – ln(N(t1))/t2-t1 = r  </w:t>
      </w:r>
      <w:r w:rsidRPr="00DB250C">
        <w:rPr>
          <w:u w:val="single"/>
        </w:rPr>
        <w:t>r= 0.113</w:t>
      </w:r>
    </w:p>
    <w:p w:rsidR="00DB250C" w:rsidRDefault="00DB250C" w:rsidP="00DB250C">
      <w:pPr>
        <w:ind w:left="720" w:firstLine="720"/>
        <w:rPr>
          <w:u w:val="single"/>
        </w:rPr>
      </w:pPr>
      <w:r>
        <w:t xml:space="preserve">T=ln2/0.113= </w:t>
      </w:r>
      <w:r w:rsidRPr="00DB250C">
        <w:rPr>
          <w:u w:val="single"/>
        </w:rPr>
        <w:t>6.134 years</w:t>
      </w:r>
    </w:p>
    <w:p w:rsidR="00DB250C" w:rsidRPr="00755C99" w:rsidRDefault="00DB250C" w:rsidP="00755C99">
      <w:pPr>
        <w:pStyle w:val="ListParagraph"/>
        <w:numPr>
          <w:ilvl w:val="0"/>
          <w:numId w:val="1"/>
        </w:numPr>
        <w:rPr>
          <w:u w:val="single"/>
        </w:rPr>
      </w:pPr>
    </w:p>
    <w:p w:rsidR="00DB250C" w:rsidRDefault="005D2165" w:rsidP="005D2165">
      <w:pPr>
        <w:pStyle w:val="ListParagraph"/>
        <w:numPr>
          <w:ilvl w:val="0"/>
          <w:numId w:val="1"/>
        </w:numPr>
      </w:pPr>
      <w:r>
        <w:t>A. max growth rate = r*k/4 = 0.08*400/4 = 8 butterflies per month</w:t>
      </w:r>
    </w:p>
    <w:p w:rsidR="005D2165" w:rsidRPr="00CB046F" w:rsidRDefault="005D2165" w:rsidP="005D2165">
      <w:r>
        <w:t xml:space="preserve">               B. </w:t>
      </w:r>
      <w:bookmarkStart w:id="0" w:name="_GoBack"/>
      <w:bookmarkEnd w:id="0"/>
    </w:p>
    <w:p w:rsidR="005F62A4" w:rsidRDefault="005F62A4" w:rsidP="005F62A4">
      <w:pPr>
        <w:ind w:left="1440"/>
      </w:pPr>
    </w:p>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p w:rsidR="00FA5266" w:rsidRDefault="00FA5266" w:rsidP="00FA5266">
      <w:r>
        <w:rPr>
          <w:noProof/>
        </w:rPr>
        <w:drawing>
          <wp:inline distT="0" distB="0" distL="0" distR="0" wp14:anchorId="0075149A" wp14:editId="26A3F817">
            <wp:extent cx="5095875" cy="2900363"/>
            <wp:effectExtent l="0" t="0" r="952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A7C30" w:rsidRDefault="00DA7C30" w:rsidP="00FA5266">
      <w:r>
        <w:rPr>
          <w:noProof/>
        </w:rPr>
        <w:lastRenderedPageBreak/>
        <w:drawing>
          <wp:inline distT="0" distB="0" distL="0" distR="0" wp14:anchorId="5AD6A5ED" wp14:editId="13418CD0">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B250C" w:rsidRDefault="00755C99" w:rsidP="00FA5266">
      <w:r>
        <w:rPr>
          <w:noProof/>
        </w:rPr>
        <w:drawing>
          <wp:inline distT="0" distB="0" distL="0" distR="0" wp14:anchorId="56C7B1C3" wp14:editId="5BC57783">
            <wp:extent cx="4564993" cy="2739916"/>
            <wp:effectExtent l="0" t="0" r="26670"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DB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32D3F"/>
    <w:multiLevelType w:val="hybridMultilevel"/>
    <w:tmpl w:val="121C1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A6"/>
    <w:rsid w:val="00010732"/>
    <w:rsid w:val="000275D2"/>
    <w:rsid w:val="00034E95"/>
    <w:rsid w:val="00052F1B"/>
    <w:rsid w:val="000564A5"/>
    <w:rsid w:val="00071928"/>
    <w:rsid w:val="001107E8"/>
    <w:rsid w:val="00114523"/>
    <w:rsid w:val="001218A7"/>
    <w:rsid w:val="00146B07"/>
    <w:rsid w:val="001503AE"/>
    <w:rsid w:val="00152C78"/>
    <w:rsid w:val="0017069A"/>
    <w:rsid w:val="0017538C"/>
    <w:rsid w:val="00180736"/>
    <w:rsid w:val="00183E24"/>
    <w:rsid w:val="00185B35"/>
    <w:rsid w:val="0018601B"/>
    <w:rsid w:val="001C2353"/>
    <w:rsid w:val="001E1F75"/>
    <w:rsid w:val="001E4F1A"/>
    <w:rsid w:val="0021719B"/>
    <w:rsid w:val="002207CA"/>
    <w:rsid w:val="00226B43"/>
    <w:rsid w:val="00251256"/>
    <w:rsid w:val="00252495"/>
    <w:rsid w:val="00257072"/>
    <w:rsid w:val="00294ED4"/>
    <w:rsid w:val="002E2424"/>
    <w:rsid w:val="002E7F3E"/>
    <w:rsid w:val="003007C4"/>
    <w:rsid w:val="00310302"/>
    <w:rsid w:val="0032726B"/>
    <w:rsid w:val="00332C20"/>
    <w:rsid w:val="0036030D"/>
    <w:rsid w:val="003641B2"/>
    <w:rsid w:val="00372173"/>
    <w:rsid w:val="00381DA4"/>
    <w:rsid w:val="003959DA"/>
    <w:rsid w:val="00397C06"/>
    <w:rsid w:val="003A28A6"/>
    <w:rsid w:val="003A354D"/>
    <w:rsid w:val="003B35A1"/>
    <w:rsid w:val="003C7F2D"/>
    <w:rsid w:val="003D13D7"/>
    <w:rsid w:val="003D144D"/>
    <w:rsid w:val="003E5A3F"/>
    <w:rsid w:val="003F2624"/>
    <w:rsid w:val="003F4A80"/>
    <w:rsid w:val="00410199"/>
    <w:rsid w:val="00427D9C"/>
    <w:rsid w:val="004305FC"/>
    <w:rsid w:val="00451026"/>
    <w:rsid w:val="0046396F"/>
    <w:rsid w:val="00466FA0"/>
    <w:rsid w:val="0048544D"/>
    <w:rsid w:val="00486727"/>
    <w:rsid w:val="004945EF"/>
    <w:rsid w:val="0049725F"/>
    <w:rsid w:val="004A69A1"/>
    <w:rsid w:val="004C08D1"/>
    <w:rsid w:val="004C78C6"/>
    <w:rsid w:val="004D5F71"/>
    <w:rsid w:val="004F3DC4"/>
    <w:rsid w:val="0051240F"/>
    <w:rsid w:val="00513F66"/>
    <w:rsid w:val="00524179"/>
    <w:rsid w:val="00525BBB"/>
    <w:rsid w:val="00546CF2"/>
    <w:rsid w:val="00563305"/>
    <w:rsid w:val="005634D6"/>
    <w:rsid w:val="00571AA5"/>
    <w:rsid w:val="00590CB0"/>
    <w:rsid w:val="005945D2"/>
    <w:rsid w:val="005C5590"/>
    <w:rsid w:val="005D2165"/>
    <w:rsid w:val="005D51F1"/>
    <w:rsid w:val="005E78F3"/>
    <w:rsid w:val="005F62A4"/>
    <w:rsid w:val="005F76D9"/>
    <w:rsid w:val="006059E0"/>
    <w:rsid w:val="00612ADB"/>
    <w:rsid w:val="00622401"/>
    <w:rsid w:val="00643CC2"/>
    <w:rsid w:val="00696712"/>
    <w:rsid w:val="006B0218"/>
    <w:rsid w:val="006B2DA4"/>
    <w:rsid w:val="006C456E"/>
    <w:rsid w:val="006E72CB"/>
    <w:rsid w:val="006F4C51"/>
    <w:rsid w:val="0071173D"/>
    <w:rsid w:val="00717F63"/>
    <w:rsid w:val="00755C99"/>
    <w:rsid w:val="00771F10"/>
    <w:rsid w:val="00772C78"/>
    <w:rsid w:val="00776C13"/>
    <w:rsid w:val="007A1FB7"/>
    <w:rsid w:val="007A61F6"/>
    <w:rsid w:val="007B1C7C"/>
    <w:rsid w:val="007D4F44"/>
    <w:rsid w:val="007F2D2F"/>
    <w:rsid w:val="007F7E7C"/>
    <w:rsid w:val="00806EFD"/>
    <w:rsid w:val="00815C5E"/>
    <w:rsid w:val="00844ADB"/>
    <w:rsid w:val="008578E1"/>
    <w:rsid w:val="00863621"/>
    <w:rsid w:val="0087296F"/>
    <w:rsid w:val="00882412"/>
    <w:rsid w:val="008919D4"/>
    <w:rsid w:val="008A5C3A"/>
    <w:rsid w:val="008B2D1A"/>
    <w:rsid w:val="008C22C9"/>
    <w:rsid w:val="008E646E"/>
    <w:rsid w:val="008F6824"/>
    <w:rsid w:val="008F7B98"/>
    <w:rsid w:val="00901E65"/>
    <w:rsid w:val="0091215E"/>
    <w:rsid w:val="00914D97"/>
    <w:rsid w:val="009566D4"/>
    <w:rsid w:val="009634E1"/>
    <w:rsid w:val="00976909"/>
    <w:rsid w:val="009804F8"/>
    <w:rsid w:val="0098116B"/>
    <w:rsid w:val="00982CAE"/>
    <w:rsid w:val="009B2EA9"/>
    <w:rsid w:val="009C295D"/>
    <w:rsid w:val="009F7B54"/>
    <w:rsid w:val="00A234FE"/>
    <w:rsid w:val="00A54BBF"/>
    <w:rsid w:val="00A81376"/>
    <w:rsid w:val="00A9064B"/>
    <w:rsid w:val="00A94349"/>
    <w:rsid w:val="00AA68E5"/>
    <w:rsid w:val="00AE2920"/>
    <w:rsid w:val="00B03754"/>
    <w:rsid w:val="00B03A3F"/>
    <w:rsid w:val="00B378FA"/>
    <w:rsid w:val="00B41468"/>
    <w:rsid w:val="00B502A9"/>
    <w:rsid w:val="00B60EB0"/>
    <w:rsid w:val="00B70129"/>
    <w:rsid w:val="00B900EC"/>
    <w:rsid w:val="00BB0F06"/>
    <w:rsid w:val="00BB2A86"/>
    <w:rsid w:val="00BB3A6B"/>
    <w:rsid w:val="00BD378F"/>
    <w:rsid w:val="00BE0117"/>
    <w:rsid w:val="00C124B8"/>
    <w:rsid w:val="00C14315"/>
    <w:rsid w:val="00C24BC9"/>
    <w:rsid w:val="00C91AE7"/>
    <w:rsid w:val="00CB046F"/>
    <w:rsid w:val="00CB426E"/>
    <w:rsid w:val="00CC3BDA"/>
    <w:rsid w:val="00CD5A36"/>
    <w:rsid w:val="00D04D54"/>
    <w:rsid w:val="00D22C1E"/>
    <w:rsid w:val="00D44E10"/>
    <w:rsid w:val="00D45910"/>
    <w:rsid w:val="00D45B37"/>
    <w:rsid w:val="00D65A77"/>
    <w:rsid w:val="00D679D1"/>
    <w:rsid w:val="00D704DC"/>
    <w:rsid w:val="00D80CAD"/>
    <w:rsid w:val="00DA0ADB"/>
    <w:rsid w:val="00DA7C30"/>
    <w:rsid w:val="00DB250C"/>
    <w:rsid w:val="00DD79A5"/>
    <w:rsid w:val="00DE7B13"/>
    <w:rsid w:val="00E047BD"/>
    <w:rsid w:val="00E07BEF"/>
    <w:rsid w:val="00E33872"/>
    <w:rsid w:val="00E474F4"/>
    <w:rsid w:val="00E5258B"/>
    <w:rsid w:val="00E55FA2"/>
    <w:rsid w:val="00E84A25"/>
    <w:rsid w:val="00E90D0C"/>
    <w:rsid w:val="00EB177F"/>
    <w:rsid w:val="00ED41ED"/>
    <w:rsid w:val="00F023BC"/>
    <w:rsid w:val="00F11772"/>
    <w:rsid w:val="00F3544D"/>
    <w:rsid w:val="00F41747"/>
    <w:rsid w:val="00F515A0"/>
    <w:rsid w:val="00F56772"/>
    <w:rsid w:val="00F66474"/>
    <w:rsid w:val="00F760E0"/>
    <w:rsid w:val="00F96A15"/>
    <w:rsid w:val="00F97C49"/>
    <w:rsid w:val="00FA5266"/>
    <w:rsid w:val="00FB0D96"/>
    <w:rsid w:val="00FB7602"/>
    <w:rsid w:val="00FC2AC9"/>
    <w:rsid w:val="00FD0CBC"/>
    <w:rsid w:val="00FD66DC"/>
    <w:rsid w:val="00FE3929"/>
    <w:rsid w:val="00FE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A6"/>
    <w:pPr>
      <w:ind w:left="720"/>
      <w:contextualSpacing/>
    </w:pPr>
  </w:style>
  <w:style w:type="paragraph" w:styleId="BalloonText">
    <w:name w:val="Balloon Text"/>
    <w:basedOn w:val="Normal"/>
    <w:link w:val="BalloonTextChar"/>
    <w:uiPriority w:val="99"/>
    <w:semiHidden/>
    <w:unhideWhenUsed/>
    <w:rsid w:val="00FA52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2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A6"/>
    <w:pPr>
      <w:ind w:left="720"/>
      <w:contextualSpacing/>
    </w:pPr>
  </w:style>
  <w:style w:type="paragraph" w:styleId="BalloonText">
    <w:name w:val="Balloon Text"/>
    <w:basedOn w:val="Normal"/>
    <w:link w:val="BalloonTextChar"/>
    <w:uiPriority w:val="99"/>
    <w:semiHidden/>
    <w:unhideWhenUsed/>
    <w:rsid w:val="00FA52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2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Frequency</a:t>
            </a:r>
            <a:r>
              <a:rPr lang="en-US" baseline="0"/>
              <a:t>  Distribution of Polygenic Trait</a:t>
            </a:r>
          </a:p>
        </c:rich>
      </c:tx>
      <c:layout/>
      <c:overlay val="0"/>
    </c:title>
    <c:autoTitleDeleted val="0"/>
    <c:plotArea>
      <c:layout/>
      <c:scatterChart>
        <c:scatterStyle val="smoothMarker"/>
        <c:varyColors val="0"/>
        <c:ser>
          <c:idx val="0"/>
          <c:order val="0"/>
          <c:tx>
            <c:strRef>
              <c:f>Sheet1!$F$2</c:f>
              <c:strCache>
                <c:ptCount val="1"/>
                <c:pt idx="0">
                  <c:v>Frequency</c:v>
                </c:pt>
              </c:strCache>
            </c:strRef>
          </c:tx>
          <c:marker>
            <c:symbol val="none"/>
          </c:marker>
          <c:xVal>
            <c:strRef>
              <c:f>Sheet1!$E$3:$E$10</c:f>
              <c:strCache>
                <c:ptCount val="8"/>
                <c:pt idx="0">
                  <c:v>-15.06164513</c:v>
                </c:pt>
                <c:pt idx="1">
                  <c:v>-0.374430086</c:v>
                </c:pt>
                <c:pt idx="2">
                  <c:v>14.31278496</c:v>
                </c:pt>
                <c:pt idx="3">
                  <c:v>29</c:v>
                </c:pt>
                <c:pt idx="4">
                  <c:v>43.68721504</c:v>
                </c:pt>
                <c:pt idx="5">
                  <c:v>58.37443009</c:v>
                </c:pt>
                <c:pt idx="6">
                  <c:v>73.06164513</c:v>
                </c:pt>
                <c:pt idx="7">
                  <c:v>More</c:v>
                </c:pt>
              </c:strCache>
            </c:strRef>
          </c:xVal>
          <c:yVal>
            <c:numRef>
              <c:f>Sheet1!$F$3:$F$10</c:f>
              <c:numCache>
                <c:formatCode>General</c:formatCode>
                <c:ptCount val="8"/>
                <c:pt idx="0">
                  <c:v>2</c:v>
                </c:pt>
                <c:pt idx="1">
                  <c:v>35</c:v>
                </c:pt>
                <c:pt idx="2">
                  <c:v>292</c:v>
                </c:pt>
                <c:pt idx="3">
                  <c:v>685</c:v>
                </c:pt>
                <c:pt idx="4">
                  <c:v>661</c:v>
                </c:pt>
                <c:pt idx="5">
                  <c:v>284</c:v>
                </c:pt>
                <c:pt idx="6">
                  <c:v>38</c:v>
                </c:pt>
                <c:pt idx="7">
                  <c:v>3</c:v>
                </c:pt>
              </c:numCache>
            </c:numRef>
          </c:yVal>
          <c:smooth val="1"/>
        </c:ser>
        <c:dLbls>
          <c:showLegendKey val="0"/>
          <c:showVal val="0"/>
          <c:showCatName val="0"/>
          <c:showSerName val="0"/>
          <c:showPercent val="0"/>
          <c:showBubbleSize val="0"/>
        </c:dLbls>
        <c:axId val="119612544"/>
        <c:axId val="119614464"/>
      </c:scatterChart>
      <c:valAx>
        <c:axId val="119612544"/>
        <c:scaling>
          <c:orientation val="minMax"/>
        </c:scaling>
        <c:delete val="0"/>
        <c:axPos val="b"/>
        <c:title>
          <c:tx>
            <c:rich>
              <a:bodyPr/>
              <a:lstStyle/>
              <a:p>
                <a:pPr>
                  <a:defRPr/>
                </a:pPr>
                <a:r>
                  <a:rPr lang="en-US"/>
                  <a:t>Phenoype value</a:t>
                </a:r>
              </a:p>
            </c:rich>
          </c:tx>
          <c:layout/>
          <c:overlay val="0"/>
        </c:title>
        <c:majorTickMark val="out"/>
        <c:minorTickMark val="none"/>
        <c:tickLblPos val="nextTo"/>
        <c:crossAx val="119614464"/>
        <c:crosses val="autoZero"/>
        <c:crossBetween val="midCat"/>
      </c:valAx>
      <c:valAx>
        <c:axId val="119614464"/>
        <c:scaling>
          <c:orientation val="minMax"/>
        </c:scaling>
        <c:delete val="0"/>
        <c:axPos val="l"/>
        <c:majorGridlines/>
        <c:title>
          <c:tx>
            <c:rich>
              <a:bodyPr rot="-5400000" vert="horz"/>
              <a:lstStyle/>
              <a:p>
                <a:pPr>
                  <a:defRPr/>
                </a:pPr>
                <a:r>
                  <a:rPr lang="en-US"/>
                  <a:t>Frequency</a:t>
                </a:r>
              </a:p>
            </c:rich>
          </c:tx>
          <c:layout/>
          <c:overlay val="0"/>
        </c:title>
        <c:numFmt formatCode="General" sourceLinked="1"/>
        <c:majorTickMark val="out"/>
        <c:minorTickMark val="none"/>
        <c:tickLblPos val="nextTo"/>
        <c:crossAx val="11961254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The</a:t>
            </a:r>
            <a:r>
              <a:rPr lang="en-US" baseline="0"/>
              <a:t> Frequency Distribution of a Single Gene Phenotype</a:t>
            </a:r>
            <a:endParaRPr lang="en-US"/>
          </a:p>
        </c:rich>
      </c:tx>
      <c:layout/>
      <c:overlay val="0"/>
    </c:title>
    <c:autoTitleDeleted val="0"/>
    <c:plotArea>
      <c:layout/>
      <c:barChart>
        <c:barDir val="col"/>
        <c:grouping val="clustered"/>
        <c:varyColors val="0"/>
        <c:ser>
          <c:idx val="1"/>
          <c:order val="0"/>
          <c:invertIfNegative val="0"/>
          <c:val>
            <c:numRef>
              <c:f>Sheet1!$B$10:$F$10</c:f>
              <c:numCache>
                <c:formatCode>General</c:formatCode>
                <c:ptCount val="5"/>
                <c:pt idx="0">
                  <c:v>30</c:v>
                </c:pt>
                <c:pt idx="1">
                  <c:v>35</c:v>
                </c:pt>
                <c:pt idx="2">
                  <c:v>20</c:v>
                </c:pt>
                <c:pt idx="3">
                  <c:v>10</c:v>
                </c:pt>
                <c:pt idx="4">
                  <c:v>5</c:v>
                </c:pt>
              </c:numCache>
            </c:numRef>
          </c:val>
        </c:ser>
        <c:dLbls>
          <c:showLegendKey val="0"/>
          <c:showVal val="0"/>
          <c:showCatName val="0"/>
          <c:showSerName val="0"/>
          <c:showPercent val="0"/>
          <c:showBubbleSize val="0"/>
        </c:dLbls>
        <c:gapWidth val="150"/>
        <c:axId val="119626752"/>
        <c:axId val="119764096"/>
      </c:barChart>
      <c:catAx>
        <c:axId val="119626752"/>
        <c:scaling>
          <c:orientation val="minMax"/>
        </c:scaling>
        <c:delete val="0"/>
        <c:axPos val="b"/>
        <c:title>
          <c:tx>
            <c:rich>
              <a:bodyPr/>
              <a:lstStyle/>
              <a:p>
                <a:pPr>
                  <a:defRPr/>
                </a:pPr>
                <a:r>
                  <a:rPr lang="en-US"/>
                  <a:t>Phenotype value</a:t>
                </a:r>
              </a:p>
            </c:rich>
          </c:tx>
          <c:layout/>
          <c:overlay val="0"/>
        </c:title>
        <c:majorTickMark val="out"/>
        <c:minorTickMark val="none"/>
        <c:tickLblPos val="nextTo"/>
        <c:crossAx val="119764096"/>
        <c:crosses val="autoZero"/>
        <c:auto val="1"/>
        <c:lblAlgn val="ctr"/>
        <c:lblOffset val="100"/>
        <c:noMultiLvlLbl val="0"/>
      </c:catAx>
      <c:valAx>
        <c:axId val="119764096"/>
        <c:scaling>
          <c:orientation val="minMax"/>
        </c:scaling>
        <c:delete val="0"/>
        <c:axPos val="l"/>
        <c:majorGridlines/>
        <c:title>
          <c:tx>
            <c:rich>
              <a:bodyPr rot="-5400000" vert="horz"/>
              <a:lstStyle/>
              <a:p>
                <a:pPr>
                  <a:defRPr/>
                </a:pPr>
                <a:r>
                  <a:rPr lang="en-US"/>
                  <a:t>Frequency</a:t>
                </a:r>
              </a:p>
            </c:rich>
          </c:tx>
          <c:layout/>
          <c:overlay val="0"/>
        </c:title>
        <c:numFmt formatCode="General" sourceLinked="1"/>
        <c:majorTickMark val="out"/>
        <c:minorTickMark val="none"/>
        <c:tickLblPos val="nextTo"/>
        <c:crossAx val="11962675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smoothMarker"/>
        <c:varyColors val="0"/>
        <c:ser>
          <c:idx val="0"/>
          <c:order val="0"/>
          <c:tx>
            <c:strRef>
              <c:f>Sheet1!$A$1</c:f>
              <c:strCache>
                <c:ptCount val="1"/>
                <c:pt idx="0">
                  <c:v>Flatworm Population</c:v>
                </c:pt>
              </c:strCache>
            </c:strRef>
          </c:tx>
          <c:trendline>
            <c:trendlineType val="exp"/>
            <c:dispRSqr val="1"/>
            <c:dispEq val="1"/>
            <c:trendlineLbl>
              <c:layout>
                <c:manualLayout>
                  <c:x val="0.15350231643290582"/>
                  <c:y val="-0.18717873102679061"/>
                </c:manualLayout>
              </c:layout>
              <c:numFmt formatCode="General" sourceLinked="0"/>
              <c:txPr>
                <a:bodyPr/>
                <a:lstStyle/>
                <a:p>
                  <a:pPr>
                    <a:defRPr b="1"/>
                  </a:pPr>
                  <a:endParaRPr lang="en-US"/>
                </a:p>
              </c:txPr>
            </c:trendlineLbl>
          </c:trendline>
          <c:xVal>
            <c:numRef>
              <c:f>Sheet1!$A$2:$A$6</c:f>
              <c:numCache>
                <c:formatCode>General</c:formatCode>
                <c:ptCount val="5"/>
                <c:pt idx="0">
                  <c:v>0</c:v>
                </c:pt>
                <c:pt idx="1">
                  <c:v>1</c:v>
                </c:pt>
                <c:pt idx="2">
                  <c:v>2</c:v>
                </c:pt>
                <c:pt idx="3">
                  <c:v>3</c:v>
                </c:pt>
                <c:pt idx="4">
                  <c:v>4</c:v>
                </c:pt>
              </c:numCache>
            </c:numRef>
          </c:xVal>
          <c:yVal>
            <c:numRef>
              <c:f>Sheet1!$B$2:$B$6</c:f>
              <c:numCache>
                <c:formatCode>General</c:formatCode>
                <c:ptCount val="5"/>
                <c:pt idx="0">
                  <c:v>100</c:v>
                </c:pt>
                <c:pt idx="1">
                  <c:v>158</c:v>
                </c:pt>
                <c:pt idx="2">
                  <c:v>315</c:v>
                </c:pt>
                <c:pt idx="3">
                  <c:v>390</c:v>
                </c:pt>
                <c:pt idx="4">
                  <c:v>794</c:v>
                </c:pt>
              </c:numCache>
            </c:numRef>
          </c:yVal>
          <c:smooth val="1"/>
        </c:ser>
        <c:dLbls>
          <c:showLegendKey val="0"/>
          <c:showVal val="0"/>
          <c:showCatName val="0"/>
          <c:showSerName val="0"/>
          <c:showPercent val="0"/>
          <c:showBubbleSize val="0"/>
        </c:dLbls>
        <c:axId val="330688000"/>
        <c:axId val="330689920"/>
      </c:scatterChart>
      <c:valAx>
        <c:axId val="330688000"/>
        <c:scaling>
          <c:orientation val="minMax"/>
          <c:max val="5"/>
        </c:scaling>
        <c:delete val="0"/>
        <c:axPos val="b"/>
        <c:title>
          <c:tx>
            <c:rich>
              <a:bodyPr/>
              <a:lstStyle/>
              <a:p>
                <a:pPr>
                  <a:defRPr/>
                </a:pPr>
                <a:r>
                  <a:rPr lang="en-US"/>
                  <a:t>Days</a:t>
                </a:r>
              </a:p>
            </c:rich>
          </c:tx>
          <c:layout/>
          <c:overlay val="0"/>
        </c:title>
        <c:numFmt formatCode="General" sourceLinked="1"/>
        <c:majorTickMark val="none"/>
        <c:minorTickMark val="none"/>
        <c:tickLblPos val="nextTo"/>
        <c:crossAx val="330689920"/>
        <c:crosses val="autoZero"/>
        <c:crossBetween val="midCat"/>
      </c:valAx>
      <c:valAx>
        <c:axId val="330689920"/>
        <c:scaling>
          <c:orientation val="minMax"/>
        </c:scaling>
        <c:delete val="0"/>
        <c:axPos val="l"/>
        <c:majorGridlines/>
        <c:title>
          <c:tx>
            <c:rich>
              <a:bodyPr/>
              <a:lstStyle/>
              <a:p>
                <a:pPr>
                  <a:defRPr/>
                </a:pPr>
                <a:r>
                  <a:rPr lang="en-US"/>
                  <a:t>Flatworm</a:t>
                </a:r>
                <a:r>
                  <a:rPr lang="en-US" baseline="0"/>
                  <a:t> p</a:t>
                </a:r>
                <a:r>
                  <a:rPr lang="en-US"/>
                  <a:t>opulation</a:t>
                </a:r>
              </a:p>
            </c:rich>
          </c:tx>
          <c:layout/>
          <c:overlay val="0"/>
        </c:title>
        <c:numFmt formatCode="General" sourceLinked="1"/>
        <c:majorTickMark val="none"/>
        <c:minorTickMark val="none"/>
        <c:tickLblPos val="nextTo"/>
        <c:crossAx val="33068800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Wilcox</dc:creator>
  <cp:keywords/>
  <dc:description/>
  <cp:lastModifiedBy>Lindsey Wilcox</cp:lastModifiedBy>
  <cp:revision>2</cp:revision>
  <dcterms:created xsi:type="dcterms:W3CDTF">2016-03-07T17:22:00Z</dcterms:created>
  <dcterms:modified xsi:type="dcterms:W3CDTF">2016-03-07T17:22:00Z</dcterms:modified>
</cp:coreProperties>
</file>