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3A7" w:rsidRPr="00D843A7" w:rsidRDefault="00D843A7" w:rsidP="00D843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843A7">
        <w:rPr>
          <w:rFonts w:ascii="Arial" w:eastAsia="Times New Roman" w:hAnsi="Arial" w:cs="Arial"/>
          <w:sz w:val="24"/>
          <w:szCs w:val="24"/>
        </w:rPr>
        <w:t>Moreno, Melissa</w:t>
      </w:r>
    </w:p>
    <w:p w:rsidR="00D843A7" w:rsidRPr="00D843A7" w:rsidRDefault="00D843A7" w:rsidP="00D843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843A7">
        <w:rPr>
          <w:rFonts w:ascii="Arial" w:eastAsia="Times New Roman" w:hAnsi="Arial" w:cs="Arial"/>
          <w:sz w:val="24"/>
          <w:szCs w:val="24"/>
        </w:rPr>
        <w:t>November 12, 2017</w:t>
      </w:r>
    </w:p>
    <w:p w:rsidR="00D843A7" w:rsidRPr="00D843A7" w:rsidRDefault="00D843A7" w:rsidP="00D843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843A7">
        <w:rPr>
          <w:rFonts w:ascii="Arial" w:eastAsia="Times New Roman" w:hAnsi="Arial" w:cs="Arial"/>
          <w:sz w:val="24"/>
          <w:szCs w:val="24"/>
        </w:rPr>
        <w:t>WIS 4934</w:t>
      </w:r>
    </w:p>
    <w:p w:rsidR="00D843A7" w:rsidRPr="00D843A7" w:rsidRDefault="00D843A7" w:rsidP="00D843A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843A7">
        <w:rPr>
          <w:rFonts w:ascii="Arial" w:eastAsia="Times New Roman" w:hAnsi="Arial" w:cs="Arial"/>
          <w:sz w:val="24"/>
          <w:szCs w:val="24"/>
        </w:rPr>
        <w:t>Assignment 10</w:t>
      </w:r>
    </w:p>
    <w:p w:rsidR="00CB522B" w:rsidRDefault="00CB522B" w:rsidP="00CB522B">
      <w:pPr>
        <w:rPr>
          <w:rFonts w:ascii="Arial" w:hAnsi="Arial" w:cs="Arial"/>
          <w:sz w:val="24"/>
          <w:szCs w:val="24"/>
        </w:rPr>
      </w:pPr>
    </w:p>
    <w:p w:rsidR="00CB522B" w:rsidRDefault="00CB522B" w:rsidP="00CB522B">
      <w:pPr>
        <w:rPr>
          <w:rFonts w:ascii="Arial" w:hAnsi="Arial" w:cs="Arial"/>
          <w:sz w:val="24"/>
          <w:szCs w:val="24"/>
        </w:rPr>
      </w:pPr>
    </w:p>
    <w:p w:rsidR="00CB522B" w:rsidRDefault="00CB522B" w:rsidP="00CB5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Assumptions-</w:t>
      </w:r>
    </w:p>
    <w:p w:rsidR="00CB522B" w:rsidRDefault="00CB522B" w:rsidP="00CB5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-No tag shedding</w:t>
      </w:r>
    </w:p>
    <w:p w:rsidR="00CB522B" w:rsidRDefault="00CB522B" w:rsidP="00CB5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-Constant survival rate</w:t>
      </w:r>
      <w:r w:rsidR="003E0929">
        <w:rPr>
          <w:rFonts w:ascii="Arial" w:hAnsi="Arial" w:cs="Arial"/>
          <w:sz w:val="24"/>
          <w:szCs w:val="24"/>
        </w:rPr>
        <w:t xml:space="preserve"> </w:t>
      </w:r>
      <w:r w:rsidR="003E0929" w:rsidRPr="003E0929">
        <w:rPr>
          <w:rFonts w:ascii="Arial" w:hAnsi="Arial" w:cs="Arial"/>
          <w:b/>
          <w:sz w:val="24"/>
          <w:szCs w:val="24"/>
        </w:rPr>
        <w:t>(S)</w:t>
      </w:r>
    </w:p>
    <w:p w:rsidR="00CB522B" w:rsidRDefault="00CB522B" w:rsidP="00CB52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-Putting tags back i</w:t>
      </w:r>
      <w:r>
        <w:rPr>
          <w:rFonts w:ascii="Arial" w:hAnsi="Arial" w:cs="Arial"/>
          <w:sz w:val="24"/>
          <w:szCs w:val="24"/>
        </w:rPr>
        <w:t>nto the population</w:t>
      </w:r>
      <w:r w:rsidR="003E0929">
        <w:rPr>
          <w:rFonts w:ascii="Arial" w:hAnsi="Arial" w:cs="Arial"/>
          <w:sz w:val="24"/>
          <w:szCs w:val="24"/>
        </w:rPr>
        <w:t xml:space="preserve"> immediately</w:t>
      </w:r>
      <w:r>
        <w:rPr>
          <w:rFonts w:ascii="Arial" w:hAnsi="Arial" w:cs="Arial"/>
          <w:sz w:val="24"/>
          <w:szCs w:val="24"/>
        </w:rPr>
        <w:t>, not removing</w:t>
      </w:r>
    </w:p>
    <w:p w:rsidR="00CB522B" w:rsidRDefault="00CB522B" w:rsidP="00CB522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-The fate of capturing an animal does not affect the fate of another animal being captured</w:t>
      </w:r>
    </w:p>
    <w:p w:rsidR="00C6638E" w:rsidRDefault="00C53D00" w:rsidP="006B3AE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-Poisson error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1360"/>
        <w:gridCol w:w="895"/>
        <w:gridCol w:w="895"/>
        <w:gridCol w:w="895"/>
        <w:gridCol w:w="895"/>
        <w:gridCol w:w="895"/>
        <w:gridCol w:w="907"/>
      </w:tblGrid>
      <w:tr w:rsidR="000938F4" w:rsidRPr="000938F4" w:rsidTr="005A321B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2" w:type="dxa"/>
            <w:gridSpan w:val="6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Recapture Year</w:t>
            </w:r>
          </w:p>
        </w:tc>
      </w:tr>
      <w:tr w:rsidR="000938F4" w:rsidRPr="000938F4" w:rsidTr="005A321B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F4">
              <w:rPr>
                <w:rFonts w:ascii="Arial" w:hAnsi="Arial" w:cs="Arial"/>
                <w:b/>
                <w:bCs/>
                <w:sz w:val="24"/>
                <w:szCs w:val="24"/>
              </w:rPr>
              <w:t>OTR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Tag Year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907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0938F4" w:rsidRPr="000938F4" w:rsidTr="005A321B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07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0938F4" w:rsidRPr="000938F4" w:rsidTr="005A321B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07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0938F4" w:rsidRPr="000938F4" w:rsidTr="005A321B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907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0938F4" w:rsidRPr="000938F4" w:rsidTr="005A321B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895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07" w:type="dxa"/>
            <w:noWrap/>
            <w:hideMark/>
          </w:tcPr>
          <w:p w:rsidR="000938F4" w:rsidRPr="000938F4" w:rsidRDefault="000938F4" w:rsidP="005A321B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</w:tbl>
    <w:p w:rsidR="000938F4" w:rsidRDefault="000938F4" w:rsidP="00093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1.1</w:t>
      </w:r>
      <w:r>
        <w:rPr>
          <w:rFonts w:ascii="Arial" w:hAnsi="Arial" w:cs="Arial"/>
          <w:sz w:val="24"/>
          <w:szCs w:val="24"/>
        </w:rPr>
        <w:t xml:space="preserve">- Observed </w:t>
      </w:r>
      <w:r>
        <w:rPr>
          <w:rFonts w:ascii="Arial" w:hAnsi="Arial" w:cs="Arial"/>
          <w:sz w:val="24"/>
          <w:szCs w:val="24"/>
        </w:rPr>
        <w:t>tagged</w:t>
      </w:r>
      <w:r>
        <w:rPr>
          <w:rFonts w:ascii="Arial" w:hAnsi="Arial" w:cs="Arial"/>
          <w:sz w:val="24"/>
          <w:szCs w:val="24"/>
        </w:rPr>
        <w:t xml:space="preserve"> returns</w:t>
      </w:r>
      <w:r w:rsidR="009F3284">
        <w:rPr>
          <w:rFonts w:ascii="Arial" w:hAnsi="Arial" w:cs="Arial"/>
          <w:sz w:val="24"/>
          <w:szCs w:val="24"/>
        </w:rPr>
        <w:t xml:space="preserve"> </w:t>
      </w:r>
      <w:r w:rsidR="009F3284" w:rsidRPr="009F3284">
        <w:rPr>
          <w:rFonts w:ascii="Arial" w:hAnsi="Arial" w:cs="Arial"/>
          <w:b/>
          <w:sz w:val="24"/>
          <w:szCs w:val="24"/>
        </w:rPr>
        <w:t>(OTR)</w:t>
      </w:r>
      <w:r w:rsidRPr="009F3284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This </w:t>
      </w:r>
      <w:r w:rsidR="00BF32F2">
        <w:rPr>
          <w:rFonts w:ascii="Arial" w:hAnsi="Arial" w:cs="Arial"/>
          <w:sz w:val="24"/>
          <w:szCs w:val="24"/>
        </w:rPr>
        <w:t xml:space="preserve">is the </w:t>
      </w:r>
      <w:r>
        <w:rPr>
          <w:rFonts w:ascii="Arial" w:hAnsi="Arial" w:cs="Arial"/>
          <w:sz w:val="24"/>
          <w:szCs w:val="24"/>
        </w:rPr>
        <w:t xml:space="preserve">observed and raw data collected. </w:t>
      </w:r>
    </w:p>
    <w:p w:rsidR="005068B0" w:rsidRDefault="005068B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441"/>
        <w:gridCol w:w="1092"/>
        <w:gridCol w:w="951"/>
        <w:gridCol w:w="1057"/>
        <w:gridCol w:w="1051"/>
        <w:gridCol w:w="979"/>
        <w:gridCol w:w="1165"/>
        <w:gridCol w:w="723"/>
      </w:tblGrid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8" w:type="dxa"/>
            <w:gridSpan w:val="5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Recapture Year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22B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1443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Tag Year</w:t>
            </w:r>
          </w:p>
        </w:tc>
        <w:tc>
          <w:tcPr>
            <w:tcW w:w="10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94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057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05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97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721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522B">
              <w:rPr>
                <w:rFonts w:ascii="Arial" w:hAnsi="Arial" w:cs="Arial"/>
                <w:b/>
                <w:bCs/>
                <w:sz w:val="24"/>
                <w:szCs w:val="24"/>
              </w:rPr>
              <w:t>MLE</w:t>
            </w:r>
          </w:p>
        </w:tc>
      </w:tr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43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10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146.97</w:t>
            </w:r>
          </w:p>
        </w:tc>
        <w:tc>
          <w:tcPr>
            <w:tcW w:w="94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107.99</w:t>
            </w:r>
          </w:p>
        </w:tc>
        <w:tc>
          <w:tcPr>
            <w:tcW w:w="1057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79.36</w:t>
            </w:r>
          </w:p>
        </w:tc>
        <w:tc>
          <w:tcPr>
            <w:tcW w:w="105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58.31</w:t>
            </w:r>
          </w:p>
        </w:tc>
        <w:tc>
          <w:tcPr>
            <w:tcW w:w="97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42.85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435.48</w:t>
            </w:r>
          </w:p>
        </w:tc>
        <w:tc>
          <w:tcPr>
            <w:tcW w:w="72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0.10</w:t>
            </w:r>
          </w:p>
        </w:tc>
      </w:tr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443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10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110.22</w:t>
            </w:r>
          </w:p>
        </w:tc>
        <w:tc>
          <w:tcPr>
            <w:tcW w:w="1057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81.00</w:t>
            </w:r>
          </w:p>
        </w:tc>
        <w:tc>
          <w:tcPr>
            <w:tcW w:w="105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59.52</w:t>
            </w:r>
          </w:p>
        </w:tc>
        <w:tc>
          <w:tcPr>
            <w:tcW w:w="97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43.74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294.47</w:t>
            </w:r>
          </w:p>
        </w:tc>
        <w:tc>
          <w:tcPr>
            <w:tcW w:w="72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0.16</w:t>
            </w:r>
          </w:p>
        </w:tc>
      </w:tr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443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0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293.93</w:t>
            </w:r>
          </w:p>
        </w:tc>
        <w:tc>
          <w:tcPr>
            <w:tcW w:w="105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215.99</w:t>
            </w:r>
          </w:p>
        </w:tc>
        <w:tc>
          <w:tcPr>
            <w:tcW w:w="97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158.72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668.64</w:t>
            </w:r>
          </w:p>
        </w:tc>
        <w:tc>
          <w:tcPr>
            <w:tcW w:w="72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0.18</w:t>
            </w:r>
          </w:p>
        </w:tc>
      </w:tr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43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10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9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7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146.97</w:t>
            </w:r>
          </w:p>
        </w:tc>
        <w:tc>
          <w:tcPr>
            <w:tcW w:w="97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107.99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254.96</w:t>
            </w:r>
          </w:p>
        </w:tc>
        <w:tc>
          <w:tcPr>
            <w:tcW w:w="72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0.14</w:t>
            </w:r>
          </w:p>
        </w:tc>
      </w:tr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522B">
              <w:rPr>
                <w:rFonts w:ascii="Arial" w:hAnsi="Arial" w:cs="Arial"/>
                <w:b/>
                <w:bCs/>
                <w:sz w:val="24"/>
                <w:szCs w:val="24"/>
              </w:rPr>
              <w:t>Surv</w:t>
            </w:r>
            <w:proofErr w:type="spellEnd"/>
            <w:r w:rsidRPr="00CB52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(S)</w:t>
            </w:r>
          </w:p>
        </w:tc>
        <w:tc>
          <w:tcPr>
            <w:tcW w:w="10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94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1057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105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97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0.73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522B" w:rsidRPr="00CB522B" w:rsidTr="00CB522B">
        <w:trPr>
          <w:trHeight w:val="315"/>
        </w:trPr>
        <w:tc>
          <w:tcPr>
            <w:tcW w:w="892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3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B522B">
              <w:rPr>
                <w:rFonts w:ascii="Arial" w:hAnsi="Arial" w:cs="Arial"/>
                <w:b/>
                <w:bCs/>
                <w:sz w:val="24"/>
                <w:szCs w:val="24"/>
              </w:rPr>
              <w:t>Pcap</w:t>
            </w:r>
            <w:proofErr w:type="spellEnd"/>
            <w:r w:rsidRPr="00CB52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</w:t>
            </w:r>
          </w:p>
        </w:tc>
        <w:tc>
          <w:tcPr>
            <w:tcW w:w="1092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0.07</w:t>
            </w:r>
          </w:p>
        </w:tc>
        <w:tc>
          <w:tcPr>
            <w:tcW w:w="94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0.05</w:t>
            </w:r>
          </w:p>
        </w:tc>
        <w:tc>
          <w:tcPr>
            <w:tcW w:w="1057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0.24</w:t>
            </w:r>
          </w:p>
        </w:tc>
        <w:tc>
          <w:tcPr>
            <w:tcW w:w="1051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0.14</w:t>
            </w:r>
          </w:p>
        </w:tc>
        <w:tc>
          <w:tcPr>
            <w:tcW w:w="979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  <w:r w:rsidRPr="00CB522B">
              <w:rPr>
                <w:rFonts w:ascii="Arial" w:hAnsi="Arial" w:cs="Arial"/>
                <w:sz w:val="24"/>
                <w:szCs w:val="24"/>
              </w:rPr>
              <w:t>0.14</w:t>
            </w:r>
          </w:p>
        </w:tc>
        <w:tc>
          <w:tcPr>
            <w:tcW w:w="1166" w:type="dxa"/>
            <w:noWrap/>
            <w:hideMark/>
          </w:tcPr>
          <w:p w:rsidR="00CB522B" w:rsidRPr="00CB522B" w:rsidRDefault="00CB522B" w:rsidP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1" w:type="dxa"/>
            <w:noWrap/>
            <w:hideMark/>
          </w:tcPr>
          <w:p w:rsidR="00CB522B" w:rsidRPr="00CB522B" w:rsidRDefault="00CB522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B522B" w:rsidRDefault="000938F4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</w:t>
      </w:r>
      <w:r w:rsidR="00CB522B">
        <w:rPr>
          <w:rFonts w:ascii="Arial" w:hAnsi="Arial" w:cs="Arial"/>
          <w:sz w:val="24"/>
          <w:szCs w:val="24"/>
        </w:rPr>
        <w:t xml:space="preserve"> 1.2</w:t>
      </w:r>
      <w:r w:rsidR="005068B0">
        <w:rPr>
          <w:rFonts w:ascii="Arial" w:hAnsi="Arial" w:cs="Arial"/>
          <w:sz w:val="24"/>
          <w:szCs w:val="24"/>
        </w:rPr>
        <w:t>- Marks available to be recaptured</w:t>
      </w:r>
      <w:r w:rsidR="009F3284">
        <w:rPr>
          <w:rFonts w:ascii="Arial" w:hAnsi="Arial" w:cs="Arial"/>
          <w:sz w:val="24"/>
          <w:szCs w:val="24"/>
        </w:rPr>
        <w:t xml:space="preserve"> </w:t>
      </w:r>
      <w:r w:rsidR="009F3284" w:rsidRPr="009F3284">
        <w:rPr>
          <w:rFonts w:ascii="Arial" w:hAnsi="Arial" w:cs="Arial"/>
          <w:b/>
          <w:sz w:val="24"/>
          <w:szCs w:val="24"/>
        </w:rPr>
        <w:t>(M)</w:t>
      </w:r>
      <w:r w:rsidR="005068B0">
        <w:rPr>
          <w:rFonts w:ascii="Arial" w:hAnsi="Arial" w:cs="Arial"/>
          <w:sz w:val="24"/>
          <w:szCs w:val="24"/>
        </w:rPr>
        <w:t xml:space="preserve">. </w:t>
      </w:r>
      <w:r w:rsidR="005068B0" w:rsidRPr="003E0929">
        <w:rPr>
          <w:rFonts w:ascii="Arial" w:hAnsi="Arial" w:cs="Arial"/>
          <w:b/>
          <w:sz w:val="24"/>
          <w:szCs w:val="24"/>
        </w:rPr>
        <w:t>MLE</w:t>
      </w:r>
      <w:r w:rsidR="005068B0">
        <w:rPr>
          <w:rFonts w:ascii="Arial" w:hAnsi="Arial" w:cs="Arial"/>
          <w:sz w:val="24"/>
          <w:szCs w:val="24"/>
        </w:rPr>
        <w:t xml:space="preserve"> is the maximum likelihood estimate </w:t>
      </w:r>
      <w:r w:rsidR="003E0929">
        <w:rPr>
          <w:rFonts w:ascii="Arial" w:hAnsi="Arial" w:cs="Arial"/>
          <w:sz w:val="24"/>
          <w:szCs w:val="24"/>
        </w:rPr>
        <w:t xml:space="preserve">of the </w:t>
      </w:r>
      <w:r w:rsidR="003E0929" w:rsidRPr="003E0929">
        <w:rPr>
          <w:rFonts w:ascii="Arial" w:hAnsi="Arial" w:cs="Arial"/>
          <w:sz w:val="24"/>
          <w:szCs w:val="24"/>
        </w:rPr>
        <w:t>likelihood of making the observations given the parameters</w:t>
      </w:r>
      <w:r w:rsidR="005068B0">
        <w:rPr>
          <w:rFonts w:ascii="Arial" w:hAnsi="Arial" w:cs="Arial"/>
          <w:sz w:val="24"/>
          <w:szCs w:val="24"/>
        </w:rPr>
        <w:t xml:space="preserve">. </w:t>
      </w:r>
      <w:r w:rsidR="005068B0" w:rsidRPr="003E0929">
        <w:rPr>
          <w:rFonts w:ascii="Arial" w:hAnsi="Arial" w:cs="Arial"/>
          <w:b/>
          <w:sz w:val="24"/>
          <w:szCs w:val="24"/>
        </w:rPr>
        <w:t>S</w:t>
      </w:r>
      <w:r w:rsidR="005068B0">
        <w:rPr>
          <w:rFonts w:ascii="Arial" w:hAnsi="Arial" w:cs="Arial"/>
          <w:sz w:val="24"/>
          <w:szCs w:val="24"/>
        </w:rPr>
        <w:t xml:space="preserve"> is the survival per year, and </w:t>
      </w:r>
      <w:proofErr w:type="spellStart"/>
      <w:r w:rsidR="003E0929" w:rsidRPr="00CB522B">
        <w:rPr>
          <w:rFonts w:ascii="Arial" w:hAnsi="Arial" w:cs="Arial"/>
          <w:b/>
          <w:bCs/>
          <w:sz w:val="24"/>
          <w:szCs w:val="24"/>
        </w:rPr>
        <w:t>Pcap</w:t>
      </w:r>
      <w:proofErr w:type="spellEnd"/>
      <w:r w:rsidR="003E0929" w:rsidRPr="00CB522B">
        <w:rPr>
          <w:rFonts w:ascii="Arial" w:hAnsi="Arial" w:cs="Arial"/>
          <w:b/>
          <w:bCs/>
          <w:sz w:val="24"/>
          <w:szCs w:val="24"/>
        </w:rPr>
        <w:t xml:space="preserve"> t</w:t>
      </w:r>
      <w:r w:rsidR="003E0929">
        <w:rPr>
          <w:rFonts w:ascii="Arial" w:hAnsi="Arial" w:cs="Arial"/>
          <w:b/>
          <w:bCs/>
          <w:sz w:val="24"/>
          <w:szCs w:val="24"/>
        </w:rPr>
        <w:t xml:space="preserve"> </w:t>
      </w:r>
      <w:r w:rsidR="003E0929">
        <w:rPr>
          <w:rFonts w:ascii="Arial" w:hAnsi="Arial" w:cs="Arial"/>
          <w:bCs/>
          <w:sz w:val="24"/>
          <w:szCs w:val="24"/>
        </w:rPr>
        <w:t>is the probability of capture for a given year.</w:t>
      </w:r>
    </w:p>
    <w:p w:rsidR="003E0929" w:rsidRPr="001F2A1A" w:rsidRDefault="001F2A1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Discussion- </w:t>
      </w:r>
    </w:p>
    <w:p w:rsidR="000938F4" w:rsidRDefault="003E092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survival rate </w:t>
      </w:r>
      <w:r w:rsidRPr="003E0929">
        <w:rPr>
          <w:rFonts w:ascii="Arial" w:hAnsi="Arial" w:cs="Arial"/>
          <w:b/>
          <w:sz w:val="24"/>
          <w:szCs w:val="24"/>
        </w:rPr>
        <w:t>(S)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constant</w:t>
      </w:r>
      <w:r w:rsidR="006A63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since we are assuming that it will be the same for all years and cohorts. We can see that the highest </w:t>
      </w:r>
      <w:proofErr w:type="spellStart"/>
      <w:r w:rsidRPr="00CB522B">
        <w:rPr>
          <w:rFonts w:ascii="Arial" w:hAnsi="Arial" w:cs="Arial"/>
          <w:b/>
          <w:bCs/>
          <w:sz w:val="24"/>
          <w:szCs w:val="24"/>
        </w:rPr>
        <w:t>Pcap</w:t>
      </w:r>
      <w:proofErr w:type="spellEnd"/>
      <w:r w:rsidRPr="00CB522B">
        <w:rPr>
          <w:rFonts w:ascii="Arial" w:hAnsi="Arial" w:cs="Arial"/>
          <w:b/>
          <w:bCs/>
          <w:sz w:val="24"/>
          <w:szCs w:val="24"/>
        </w:rPr>
        <w:t xml:space="preserve"> 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is on year 2015, when the year before there were 400 tagged animals added to the population. </w:t>
      </w:r>
      <w:r w:rsidR="001F2A1A">
        <w:rPr>
          <w:rFonts w:ascii="Arial" w:hAnsi="Arial" w:cs="Arial"/>
          <w:bCs/>
          <w:sz w:val="24"/>
          <w:szCs w:val="24"/>
        </w:rPr>
        <w:t xml:space="preserve">We can conclude that the more tags sent out </w:t>
      </w:r>
      <w:r w:rsidR="00C4092D">
        <w:rPr>
          <w:rFonts w:ascii="Arial" w:hAnsi="Arial" w:cs="Arial"/>
          <w:bCs/>
          <w:sz w:val="24"/>
          <w:szCs w:val="24"/>
        </w:rPr>
        <w:t xml:space="preserve">in each year, </w:t>
      </w:r>
      <w:r w:rsidR="006B6A12">
        <w:rPr>
          <w:rFonts w:ascii="Arial" w:hAnsi="Arial" w:cs="Arial"/>
          <w:bCs/>
          <w:sz w:val="24"/>
          <w:szCs w:val="24"/>
        </w:rPr>
        <w:t>should</w:t>
      </w:r>
      <w:r w:rsidR="00C4092D">
        <w:rPr>
          <w:rFonts w:ascii="Arial" w:hAnsi="Arial" w:cs="Arial"/>
          <w:bCs/>
          <w:sz w:val="24"/>
          <w:szCs w:val="24"/>
        </w:rPr>
        <w:t xml:space="preserve"> allow for a</w:t>
      </w:r>
      <w:r w:rsidR="001F2A1A">
        <w:rPr>
          <w:rFonts w:ascii="Arial" w:hAnsi="Arial" w:cs="Arial"/>
          <w:bCs/>
          <w:sz w:val="24"/>
          <w:szCs w:val="24"/>
        </w:rPr>
        <w:t xml:space="preserve"> higher probability of capturing the tag in the next year</w:t>
      </w:r>
      <w:r w:rsidR="00A65C08">
        <w:rPr>
          <w:rFonts w:ascii="Arial" w:hAnsi="Arial" w:cs="Arial"/>
          <w:bCs/>
          <w:sz w:val="24"/>
          <w:szCs w:val="24"/>
        </w:rPr>
        <w:t xml:space="preserve"> since we are assuming no tag shedding</w:t>
      </w:r>
      <w:r w:rsidR="001F2A1A">
        <w:rPr>
          <w:rFonts w:ascii="Arial" w:hAnsi="Arial" w:cs="Arial"/>
          <w:bCs/>
          <w:sz w:val="24"/>
          <w:szCs w:val="24"/>
        </w:rPr>
        <w:t xml:space="preserve">. </w:t>
      </w:r>
      <w:r w:rsidR="00C4092D">
        <w:rPr>
          <w:rFonts w:ascii="Arial" w:hAnsi="Arial" w:cs="Arial"/>
          <w:bCs/>
          <w:sz w:val="24"/>
          <w:szCs w:val="24"/>
        </w:rPr>
        <w:t xml:space="preserve">And, also, if more tags are sent out and more individuals are caught, the higher our </w:t>
      </w:r>
      <w:r w:rsidR="00C4092D" w:rsidRPr="00C4092D">
        <w:rPr>
          <w:rFonts w:ascii="Arial" w:hAnsi="Arial" w:cs="Arial"/>
          <w:b/>
          <w:bCs/>
          <w:sz w:val="24"/>
          <w:szCs w:val="24"/>
        </w:rPr>
        <w:t>MLE</w:t>
      </w:r>
      <w:r w:rsidR="00C4092D">
        <w:rPr>
          <w:rFonts w:ascii="Arial" w:hAnsi="Arial" w:cs="Arial"/>
          <w:bCs/>
          <w:sz w:val="24"/>
          <w:szCs w:val="24"/>
        </w:rPr>
        <w:t xml:space="preserve"> will be. We can see that the highest </w:t>
      </w:r>
      <w:r w:rsidR="00C4092D" w:rsidRPr="00C4092D">
        <w:rPr>
          <w:rFonts w:ascii="Arial" w:hAnsi="Arial" w:cs="Arial"/>
          <w:b/>
          <w:bCs/>
          <w:sz w:val="24"/>
          <w:szCs w:val="24"/>
        </w:rPr>
        <w:t>MLE</w:t>
      </w:r>
      <w:r w:rsidR="00C409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092D">
        <w:rPr>
          <w:rFonts w:ascii="Arial" w:hAnsi="Arial" w:cs="Arial"/>
          <w:bCs/>
          <w:sz w:val="24"/>
          <w:szCs w:val="24"/>
        </w:rPr>
        <w:t xml:space="preserve">is in year 2014, when more individuals were tagged, and several were caught that year. </w:t>
      </w:r>
    </w:p>
    <w:p w:rsidR="000938F4" w:rsidRDefault="000938F4"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"E:\\MEP\\Assignment10Wray.xlsx" "Sheet1!R17C2:R22C9"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leGrid"/>
        <w:tblW w:w="7580" w:type="dxa"/>
        <w:tblLook w:val="04A0" w:firstRow="1" w:lastRow="0" w:firstColumn="1" w:lastColumn="0" w:noHBand="0" w:noVBand="1"/>
      </w:tblPr>
      <w:tblGrid>
        <w:gridCol w:w="840"/>
        <w:gridCol w:w="1360"/>
        <w:gridCol w:w="881"/>
        <w:gridCol w:w="790"/>
        <w:gridCol w:w="881"/>
        <w:gridCol w:w="881"/>
        <w:gridCol w:w="881"/>
        <w:gridCol w:w="1066"/>
      </w:tblGrid>
      <w:tr w:rsidR="000938F4" w:rsidRPr="000938F4" w:rsidTr="000938F4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  <w:gridSpan w:val="6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Recapture Year</w:t>
            </w:r>
          </w:p>
        </w:tc>
      </w:tr>
      <w:tr w:rsidR="000938F4" w:rsidRPr="000938F4" w:rsidTr="000938F4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F4">
              <w:rPr>
                <w:rFonts w:ascii="Arial" w:hAnsi="Arial" w:cs="Arial"/>
                <w:b/>
                <w:bCs/>
                <w:sz w:val="24"/>
                <w:szCs w:val="24"/>
              </w:rPr>
              <w:t>PTR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Tag Year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79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1066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0938F4" w:rsidRPr="000938F4" w:rsidTr="000938F4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79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5.44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19.04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8.01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6.06</w:t>
            </w:r>
          </w:p>
        </w:tc>
        <w:tc>
          <w:tcPr>
            <w:tcW w:w="106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48.55</w:t>
            </w:r>
          </w:p>
        </w:tc>
      </w:tr>
      <w:tr w:rsidR="000938F4" w:rsidRPr="000938F4" w:rsidTr="000938F4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5.56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19.43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8.17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6.19</w:t>
            </w:r>
          </w:p>
        </w:tc>
        <w:tc>
          <w:tcPr>
            <w:tcW w:w="106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39.35</w:t>
            </w:r>
          </w:p>
        </w:tc>
      </w:tr>
      <w:tr w:rsidR="000938F4" w:rsidRPr="000938F4" w:rsidTr="000938F4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70.53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29.65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22.46</w:t>
            </w:r>
          </w:p>
        </w:tc>
        <w:tc>
          <w:tcPr>
            <w:tcW w:w="106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122.64</w:t>
            </w:r>
          </w:p>
        </w:tc>
      </w:tr>
      <w:tr w:rsidR="000938F4" w:rsidRPr="000938F4" w:rsidTr="000938F4">
        <w:trPr>
          <w:trHeight w:val="315"/>
        </w:trPr>
        <w:tc>
          <w:tcPr>
            <w:tcW w:w="84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36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20.17</w:t>
            </w:r>
          </w:p>
        </w:tc>
        <w:tc>
          <w:tcPr>
            <w:tcW w:w="88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15.28</w:t>
            </w:r>
          </w:p>
        </w:tc>
        <w:tc>
          <w:tcPr>
            <w:tcW w:w="106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35.46</w:t>
            </w:r>
          </w:p>
        </w:tc>
      </w:tr>
    </w:tbl>
    <w:p w:rsidR="000938F4" w:rsidRDefault="00093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Table 1.3-</w:t>
      </w:r>
      <w:r w:rsidR="00174A3D">
        <w:rPr>
          <w:rFonts w:ascii="Arial" w:hAnsi="Arial" w:cs="Arial"/>
          <w:sz w:val="24"/>
          <w:szCs w:val="24"/>
        </w:rPr>
        <w:t xml:space="preserve"> Predicted tag return </w:t>
      </w:r>
      <w:r w:rsidR="00174A3D" w:rsidRPr="00174A3D">
        <w:rPr>
          <w:rFonts w:ascii="Arial" w:hAnsi="Arial" w:cs="Arial"/>
          <w:b/>
          <w:sz w:val="24"/>
          <w:szCs w:val="24"/>
        </w:rPr>
        <w:t>(PTR)</w:t>
      </w:r>
      <w:r w:rsidR="009F3284">
        <w:rPr>
          <w:rFonts w:ascii="Arial" w:hAnsi="Arial" w:cs="Arial"/>
          <w:sz w:val="24"/>
          <w:szCs w:val="24"/>
        </w:rPr>
        <w:t xml:space="preserve">. </w:t>
      </w:r>
    </w:p>
    <w:p w:rsidR="009F3284" w:rsidRDefault="009F3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Discussion-</w:t>
      </w:r>
    </w:p>
    <w:p w:rsidR="00BF32F2" w:rsidRDefault="009F3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see in Table 1.3, compare</w:t>
      </w:r>
      <w:r w:rsidR="00174A3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to Table 1.1 </w:t>
      </w:r>
      <w:r w:rsidRPr="00174A3D">
        <w:rPr>
          <w:rFonts w:ascii="Arial" w:hAnsi="Arial" w:cs="Arial"/>
          <w:b/>
          <w:sz w:val="24"/>
          <w:szCs w:val="24"/>
        </w:rPr>
        <w:t>(OTR)</w:t>
      </w:r>
      <w:r>
        <w:rPr>
          <w:rFonts w:ascii="Arial" w:hAnsi="Arial" w:cs="Arial"/>
          <w:sz w:val="24"/>
          <w:szCs w:val="24"/>
        </w:rPr>
        <w:t xml:space="preserve">, </w:t>
      </w:r>
      <w:r w:rsidR="00174A3D">
        <w:rPr>
          <w:rFonts w:ascii="Arial" w:hAnsi="Arial" w:cs="Arial"/>
          <w:sz w:val="24"/>
          <w:szCs w:val="24"/>
        </w:rPr>
        <w:t xml:space="preserve">shows that our predicted tag returns for those years and cohorts is </w:t>
      </w:r>
      <w:r w:rsidR="006A63E2">
        <w:rPr>
          <w:rFonts w:ascii="Arial" w:hAnsi="Arial" w:cs="Arial"/>
          <w:sz w:val="24"/>
          <w:szCs w:val="24"/>
        </w:rPr>
        <w:t>generally</w:t>
      </w:r>
      <w:r w:rsidR="00174A3D">
        <w:rPr>
          <w:rFonts w:ascii="Arial" w:hAnsi="Arial" w:cs="Arial"/>
          <w:sz w:val="24"/>
          <w:szCs w:val="24"/>
        </w:rPr>
        <w:t xml:space="preserve"> less than our actual observed tag returns</w:t>
      </w:r>
      <w:r w:rsidR="00BF32F2">
        <w:rPr>
          <w:rFonts w:ascii="Arial" w:hAnsi="Arial" w:cs="Arial"/>
          <w:sz w:val="24"/>
          <w:szCs w:val="24"/>
        </w:rPr>
        <w:t xml:space="preserve"> </w:t>
      </w:r>
      <w:r w:rsidR="00BF32F2" w:rsidRPr="00174A3D">
        <w:rPr>
          <w:rFonts w:ascii="Arial" w:hAnsi="Arial" w:cs="Arial"/>
          <w:b/>
          <w:sz w:val="24"/>
          <w:szCs w:val="24"/>
        </w:rPr>
        <w:t>(OTR)</w:t>
      </w:r>
      <w:r w:rsidR="00174A3D">
        <w:rPr>
          <w:rFonts w:ascii="Arial" w:hAnsi="Arial" w:cs="Arial"/>
          <w:sz w:val="24"/>
          <w:szCs w:val="24"/>
        </w:rPr>
        <w:t xml:space="preserve">, but not by much. We </w:t>
      </w:r>
      <w:r w:rsidR="007D08BA">
        <w:rPr>
          <w:rFonts w:ascii="Arial" w:hAnsi="Arial" w:cs="Arial"/>
          <w:sz w:val="24"/>
          <w:szCs w:val="24"/>
        </w:rPr>
        <w:t xml:space="preserve">can see that for year 2012 and 2015, we predicted higher </w:t>
      </w:r>
      <w:proofErr w:type="spellStart"/>
      <w:r w:rsidR="007D08BA">
        <w:rPr>
          <w:rFonts w:ascii="Arial" w:hAnsi="Arial" w:cs="Arial"/>
          <w:sz w:val="24"/>
          <w:szCs w:val="24"/>
        </w:rPr>
        <w:t>tag</w:t>
      </w:r>
      <w:proofErr w:type="spellEnd"/>
      <w:r w:rsidR="007D08BA">
        <w:rPr>
          <w:rFonts w:ascii="Arial" w:hAnsi="Arial" w:cs="Arial"/>
          <w:sz w:val="24"/>
          <w:szCs w:val="24"/>
        </w:rPr>
        <w:t xml:space="preserve"> returns</w:t>
      </w:r>
      <w:r w:rsidR="00BF32F2">
        <w:rPr>
          <w:rFonts w:ascii="Arial" w:hAnsi="Arial" w:cs="Arial"/>
          <w:sz w:val="24"/>
          <w:szCs w:val="24"/>
        </w:rPr>
        <w:t xml:space="preserve"> </w:t>
      </w:r>
      <w:r w:rsidR="00BF32F2" w:rsidRPr="00174A3D">
        <w:rPr>
          <w:rFonts w:ascii="Arial" w:hAnsi="Arial" w:cs="Arial"/>
          <w:b/>
          <w:sz w:val="24"/>
          <w:szCs w:val="24"/>
        </w:rPr>
        <w:t>(PTR)</w:t>
      </w:r>
      <w:r w:rsidR="007D08BA">
        <w:rPr>
          <w:rFonts w:ascii="Arial" w:hAnsi="Arial" w:cs="Arial"/>
          <w:sz w:val="24"/>
          <w:szCs w:val="24"/>
        </w:rPr>
        <w:t xml:space="preserve">, but the other years are </w:t>
      </w:r>
      <w:r w:rsidR="00BF32F2">
        <w:rPr>
          <w:rFonts w:ascii="Arial" w:hAnsi="Arial" w:cs="Arial"/>
          <w:sz w:val="24"/>
          <w:szCs w:val="24"/>
        </w:rPr>
        <w:t xml:space="preserve">slightly </w:t>
      </w:r>
      <w:r w:rsidR="007D08BA">
        <w:rPr>
          <w:rFonts w:ascii="Arial" w:hAnsi="Arial" w:cs="Arial"/>
          <w:sz w:val="24"/>
          <w:szCs w:val="24"/>
        </w:rPr>
        <w:t xml:space="preserve">less or just about the same. With very overall similar predicted and observed tags, we might be able to </w:t>
      </w:r>
      <w:r w:rsidR="007510AB">
        <w:rPr>
          <w:rFonts w:ascii="Arial" w:hAnsi="Arial" w:cs="Arial"/>
          <w:sz w:val="24"/>
          <w:szCs w:val="24"/>
        </w:rPr>
        <w:t xml:space="preserve">assume that the observed tag returns </w:t>
      </w:r>
      <w:r w:rsidR="00BF32F2" w:rsidRPr="00174A3D">
        <w:rPr>
          <w:rFonts w:ascii="Arial" w:hAnsi="Arial" w:cs="Arial"/>
          <w:b/>
          <w:sz w:val="24"/>
          <w:szCs w:val="24"/>
        </w:rPr>
        <w:t>(OTR)</w:t>
      </w:r>
      <w:r w:rsidR="00BF32F2">
        <w:rPr>
          <w:rFonts w:ascii="Arial" w:hAnsi="Arial" w:cs="Arial"/>
          <w:b/>
          <w:sz w:val="24"/>
          <w:szCs w:val="24"/>
        </w:rPr>
        <w:t xml:space="preserve"> </w:t>
      </w:r>
      <w:r w:rsidR="007510AB">
        <w:rPr>
          <w:rFonts w:ascii="Arial" w:hAnsi="Arial" w:cs="Arial"/>
          <w:sz w:val="24"/>
          <w:szCs w:val="24"/>
        </w:rPr>
        <w:t xml:space="preserve">are representational of the true capture probability for each year and cohort. </w:t>
      </w:r>
    </w:p>
    <w:p w:rsidR="000938F4" w:rsidRPr="00BF32F2" w:rsidRDefault="00093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LINK Excel.Sheet.12 "E:\\MEP\\Assignment10Wray.xlsx" "Sheet1!R24C2:R30C9"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leGrid"/>
        <w:tblW w:w="8131" w:type="dxa"/>
        <w:tblLook w:val="04A0" w:firstRow="1" w:lastRow="0" w:firstColumn="1" w:lastColumn="0" w:noHBand="0" w:noVBand="1"/>
      </w:tblPr>
      <w:tblGrid>
        <w:gridCol w:w="896"/>
        <w:gridCol w:w="1451"/>
        <w:gridCol w:w="928"/>
        <w:gridCol w:w="800"/>
        <w:gridCol w:w="1101"/>
        <w:gridCol w:w="927"/>
        <w:gridCol w:w="927"/>
        <w:gridCol w:w="1101"/>
      </w:tblGrid>
      <w:tr w:rsidR="000938F4" w:rsidRPr="000938F4" w:rsidTr="000938F4">
        <w:trPr>
          <w:trHeight w:val="326"/>
        </w:trPr>
        <w:tc>
          <w:tcPr>
            <w:tcW w:w="896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84" w:type="dxa"/>
            <w:gridSpan w:val="6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Recapture Year</w:t>
            </w:r>
          </w:p>
        </w:tc>
      </w:tr>
      <w:tr w:rsidR="000938F4" w:rsidRPr="000938F4" w:rsidTr="000938F4">
        <w:trPr>
          <w:trHeight w:val="326"/>
        </w:trPr>
        <w:tc>
          <w:tcPr>
            <w:tcW w:w="896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38F4">
              <w:rPr>
                <w:rFonts w:ascii="Arial" w:hAnsi="Arial" w:cs="Arial"/>
                <w:b/>
                <w:bCs/>
                <w:sz w:val="24"/>
                <w:szCs w:val="24"/>
              </w:rPr>
              <w:t>NLL</w:t>
            </w:r>
          </w:p>
        </w:tc>
        <w:tc>
          <w:tcPr>
            <w:tcW w:w="1451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Tag Year</w:t>
            </w:r>
          </w:p>
        </w:tc>
        <w:tc>
          <w:tcPr>
            <w:tcW w:w="928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80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2016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0938F4" w:rsidRPr="000938F4" w:rsidTr="000938F4">
        <w:trPr>
          <w:trHeight w:val="326"/>
        </w:trPr>
        <w:tc>
          <w:tcPr>
            <w:tcW w:w="89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5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928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-13.03</w:t>
            </w:r>
          </w:p>
        </w:tc>
        <w:tc>
          <w:tcPr>
            <w:tcW w:w="80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-1.33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-36.94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-10.72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-61.36</w:t>
            </w:r>
          </w:p>
        </w:tc>
      </w:tr>
      <w:tr w:rsidR="000938F4" w:rsidRPr="000938F4" w:rsidTr="000938F4">
        <w:trPr>
          <w:trHeight w:val="326"/>
        </w:trPr>
        <w:tc>
          <w:tcPr>
            <w:tcW w:w="89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145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928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0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-6.45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-39.91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-12.83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-10.22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-69.41</w:t>
            </w:r>
          </w:p>
        </w:tc>
      </w:tr>
      <w:tr w:rsidR="000938F4" w:rsidRPr="000938F4" w:rsidTr="000938F4">
        <w:trPr>
          <w:trHeight w:val="326"/>
        </w:trPr>
        <w:tc>
          <w:tcPr>
            <w:tcW w:w="89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400</w:t>
            </w:r>
          </w:p>
        </w:tc>
        <w:tc>
          <w:tcPr>
            <w:tcW w:w="145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928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-227.39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-55.09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-55.33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-337.81</w:t>
            </w:r>
          </w:p>
        </w:tc>
      </w:tr>
      <w:tr w:rsidR="000938F4" w:rsidRPr="000938F4" w:rsidTr="000938F4">
        <w:trPr>
          <w:trHeight w:val="326"/>
        </w:trPr>
        <w:tc>
          <w:tcPr>
            <w:tcW w:w="89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145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928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1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-45.92</w:t>
            </w:r>
          </w:p>
        </w:tc>
        <w:tc>
          <w:tcPr>
            <w:tcW w:w="927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-20.16</w:t>
            </w: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-66.09</w:t>
            </w:r>
          </w:p>
        </w:tc>
      </w:tr>
      <w:tr w:rsidR="000938F4" w:rsidRPr="000938F4" w:rsidTr="000938F4">
        <w:trPr>
          <w:trHeight w:val="326"/>
        </w:trPr>
        <w:tc>
          <w:tcPr>
            <w:tcW w:w="896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1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8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0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1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" w:type="dxa"/>
            <w:noWrap/>
            <w:hideMark/>
          </w:tcPr>
          <w:p w:rsidR="000938F4" w:rsidRPr="000938F4" w:rsidRDefault="000938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1" w:type="dxa"/>
            <w:noWrap/>
            <w:hideMark/>
          </w:tcPr>
          <w:p w:rsidR="000938F4" w:rsidRPr="000938F4" w:rsidRDefault="000938F4" w:rsidP="000938F4">
            <w:pPr>
              <w:rPr>
                <w:rFonts w:ascii="Arial" w:hAnsi="Arial" w:cs="Arial"/>
                <w:sz w:val="24"/>
                <w:szCs w:val="24"/>
              </w:rPr>
            </w:pPr>
            <w:r w:rsidRPr="000938F4">
              <w:rPr>
                <w:rFonts w:ascii="Arial" w:hAnsi="Arial" w:cs="Arial"/>
                <w:sz w:val="24"/>
                <w:szCs w:val="24"/>
              </w:rPr>
              <w:t>-534.67</w:t>
            </w:r>
          </w:p>
        </w:tc>
      </w:tr>
    </w:tbl>
    <w:p w:rsidR="000938F4" w:rsidRDefault="00093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Table 1.4-</w:t>
      </w:r>
      <w:r w:rsidR="007D08BA">
        <w:rPr>
          <w:rFonts w:ascii="Arial" w:hAnsi="Arial" w:cs="Arial"/>
          <w:sz w:val="24"/>
          <w:szCs w:val="24"/>
        </w:rPr>
        <w:t xml:space="preserve"> </w:t>
      </w:r>
      <w:r w:rsidR="007D08BA" w:rsidRPr="007D08BA">
        <w:rPr>
          <w:rFonts w:ascii="Arial" w:hAnsi="Arial" w:cs="Arial"/>
          <w:sz w:val="24"/>
          <w:szCs w:val="24"/>
        </w:rPr>
        <w:t xml:space="preserve"> Assuming a Poisson error structure, the total negative log likelihood </w:t>
      </w:r>
      <w:r w:rsidR="007D08BA" w:rsidRPr="007D08BA">
        <w:rPr>
          <w:rFonts w:ascii="Arial" w:hAnsi="Arial" w:cs="Arial"/>
          <w:b/>
          <w:sz w:val="24"/>
          <w:szCs w:val="24"/>
        </w:rPr>
        <w:t>(NLL)</w:t>
      </w:r>
      <w:r w:rsidR="007D08BA" w:rsidRPr="007D08BA">
        <w:rPr>
          <w:rFonts w:ascii="Arial" w:hAnsi="Arial" w:cs="Arial"/>
          <w:sz w:val="24"/>
          <w:szCs w:val="24"/>
        </w:rPr>
        <w:t xml:space="preserve"> </w:t>
      </w:r>
      <w:r w:rsidR="007D08BA">
        <w:rPr>
          <w:rFonts w:ascii="Arial" w:hAnsi="Arial" w:cs="Arial"/>
          <w:sz w:val="24"/>
          <w:szCs w:val="24"/>
        </w:rPr>
        <w:t>is</w:t>
      </w:r>
      <w:r w:rsidR="007D08BA" w:rsidRPr="007D08BA">
        <w:rPr>
          <w:rFonts w:ascii="Arial" w:hAnsi="Arial" w:cs="Arial"/>
          <w:sz w:val="24"/>
          <w:szCs w:val="24"/>
        </w:rPr>
        <w:t xml:space="preserve"> minimize</w:t>
      </w:r>
      <w:r w:rsidR="007D08BA">
        <w:rPr>
          <w:rFonts w:ascii="Arial" w:hAnsi="Arial" w:cs="Arial"/>
          <w:sz w:val="24"/>
          <w:szCs w:val="24"/>
        </w:rPr>
        <w:t>d</w:t>
      </w:r>
      <w:r w:rsidR="007D08BA" w:rsidRPr="007D08BA">
        <w:rPr>
          <w:rFonts w:ascii="Arial" w:hAnsi="Arial" w:cs="Arial"/>
          <w:sz w:val="24"/>
          <w:szCs w:val="24"/>
        </w:rPr>
        <w:t xml:space="preserve"> by changing </w:t>
      </w:r>
      <w:r w:rsidR="006B6A12">
        <w:rPr>
          <w:rFonts w:ascii="Arial" w:hAnsi="Arial" w:cs="Arial"/>
          <w:sz w:val="24"/>
          <w:szCs w:val="24"/>
        </w:rPr>
        <w:t xml:space="preserve">survival </w:t>
      </w:r>
      <w:r w:rsidR="006B6A12" w:rsidRPr="006B6A12">
        <w:rPr>
          <w:rFonts w:ascii="Arial" w:hAnsi="Arial" w:cs="Arial"/>
          <w:b/>
          <w:sz w:val="24"/>
          <w:szCs w:val="24"/>
        </w:rPr>
        <w:t>(</w:t>
      </w:r>
      <w:r w:rsidR="007D08BA" w:rsidRPr="006B6A12">
        <w:rPr>
          <w:rFonts w:ascii="Arial" w:hAnsi="Arial" w:cs="Arial"/>
          <w:b/>
          <w:sz w:val="24"/>
          <w:szCs w:val="24"/>
        </w:rPr>
        <w:t>S</w:t>
      </w:r>
      <w:r w:rsidR="006B6A12" w:rsidRPr="006B6A12">
        <w:rPr>
          <w:rFonts w:ascii="Arial" w:hAnsi="Arial" w:cs="Arial"/>
          <w:b/>
          <w:sz w:val="24"/>
          <w:szCs w:val="24"/>
        </w:rPr>
        <w:t>)</w:t>
      </w:r>
      <w:r w:rsidR="007D08BA">
        <w:rPr>
          <w:rFonts w:ascii="Arial" w:hAnsi="Arial" w:cs="Arial"/>
          <w:b/>
          <w:sz w:val="24"/>
          <w:szCs w:val="24"/>
        </w:rPr>
        <w:t>.</w:t>
      </w:r>
    </w:p>
    <w:p w:rsidR="00BF32F2" w:rsidRDefault="00BF32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Discussion-</w:t>
      </w:r>
      <w:r w:rsidR="00EB0A72">
        <w:rPr>
          <w:rFonts w:ascii="Arial" w:hAnsi="Arial" w:cs="Arial"/>
          <w:sz w:val="24"/>
          <w:szCs w:val="24"/>
        </w:rPr>
        <w:t xml:space="preserve"> </w:t>
      </w:r>
      <w:r w:rsidR="00590802">
        <w:rPr>
          <w:rFonts w:ascii="Arial" w:hAnsi="Arial" w:cs="Arial"/>
          <w:sz w:val="24"/>
          <w:szCs w:val="24"/>
        </w:rPr>
        <w:t xml:space="preserve">Using the </w:t>
      </w:r>
      <w:r w:rsidR="00590802" w:rsidRPr="00590802">
        <w:rPr>
          <w:rFonts w:ascii="Arial" w:hAnsi="Arial" w:cs="Arial"/>
          <w:b/>
          <w:sz w:val="24"/>
          <w:szCs w:val="24"/>
        </w:rPr>
        <w:t>OTR</w:t>
      </w:r>
      <w:r w:rsidR="00590802">
        <w:rPr>
          <w:rFonts w:ascii="Arial" w:hAnsi="Arial" w:cs="Arial"/>
          <w:sz w:val="24"/>
          <w:szCs w:val="24"/>
        </w:rPr>
        <w:t xml:space="preserve"> and </w:t>
      </w:r>
      <w:r w:rsidR="00590802" w:rsidRPr="00590802">
        <w:rPr>
          <w:rFonts w:ascii="Arial" w:hAnsi="Arial" w:cs="Arial"/>
          <w:b/>
          <w:sz w:val="24"/>
          <w:szCs w:val="24"/>
        </w:rPr>
        <w:t>PTR</w:t>
      </w:r>
      <w:r w:rsidR="00590802">
        <w:rPr>
          <w:rFonts w:ascii="Arial" w:hAnsi="Arial" w:cs="Arial"/>
          <w:b/>
          <w:sz w:val="24"/>
          <w:szCs w:val="24"/>
        </w:rPr>
        <w:t xml:space="preserve"> </w:t>
      </w:r>
      <w:r w:rsidR="00590802">
        <w:rPr>
          <w:rFonts w:ascii="Arial" w:hAnsi="Arial" w:cs="Arial"/>
          <w:sz w:val="24"/>
          <w:szCs w:val="24"/>
        </w:rPr>
        <w:t xml:space="preserve">we calculated our </w:t>
      </w:r>
      <w:r w:rsidR="00590802" w:rsidRPr="00590802">
        <w:rPr>
          <w:rFonts w:ascii="Arial" w:hAnsi="Arial" w:cs="Arial"/>
          <w:b/>
          <w:sz w:val="24"/>
          <w:szCs w:val="24"/>
        </w:rPr>
        <w:t>NLL</w:t>
      </w:r>
      <w:r w:rsidR="00590802">
        <w:rPr>
          <w:rFonts w:ascii="Arial" w:hAnsi="Arial" w:cs="Arial"/>
          <w:sz w:val="24"/>
          <w:szCs w:val="24"/>
        </w:rPr>
        <w:t xml:space="preserve"> per year and cohort. </w:t>
      </w:r>
    </w:p>
    <w:p w:rsidR="000938F4" w:rsidRDefault="000938F4">
      <w:pPr>
        <w:rPr>
          <w:rFonts w:ascii="Arial" w:hAnsi="Arial" w:cs="Arial"/>
          <w:sz w:val="24"/>
          <w:szCs w:val="24"/>
        </w:rPr>
      </w:pPr>
    </w:p>
    <w:p w:rsidR="000938F4" w:rsidRDefault="000938F4">
      <w:pPr>
        <w:rPr>
          <w:rFonts w:ascii="Arial" w:hAnsi="Arial" w:cs="Arial"/>
          <w:sz w:val="24"/>
          <w:szCs w:val="24"/>
        </w:rPr>
      </w:pPr>
    </w:p>
    <w:p w:rsidR="000938F4" w:rsidRDefault="008D4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251FED">
            <wp:extent cx="3139440" cy="2712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38F4" w:rsidRDefault="00093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1.1-</w:t>
      </w:r>
      <w:r w:rsidR="007510AB">
        <w:rPr>
          <w:rFonts w:ascii="Arial" w:hAnsi="Arial" w:cs="Arial"/>
          <w:sz w:val="24"/>
          <w:szCs w:val="24"/>
        </w:rPr>
        <w:t xml:space="preserve"> Funnel plot </w:t>
      </w:r>
      <w:r w:rsidR="00300E57">
        <w:rPr>
          <w:rFonts w:ascii="Arial" w:hAnsi="Arial" w:cs="Arial"/>
          <w:sz w:val="24"/>
          <w:szCs w:val="24"/>
        </w:rPr>
        <w:t>displaying</w:t>
      </w:r>
      <w:r w:rsidR="007510AB">
        <w:rPr>
          <w:rFonts w:ascii="Arial" w:hAnsi="Arial" w:cs="Arial"/>
          <w:sz w:val="24"/>
          <w:szCs w:val="24"/>
        </w:rPr>
        <w:t xml:space="preserve"> </w:t>
      </w:r>
      <w:r w:rsidR="00300E57">
        <w:rPr>
          <w:rFonts w:ascii="Arial" w:hAnsi="Arial" w:cs="Arial"/>
          <w:sz w:val="24"/>
          <w:szCs w:val="24"/>
        </w:rPr>
        <w:t xml:space="preserve">the </w:t>
      </w:r>
      <w:r w:rsidR="00A65C08">
        <w:rPr>
          <w:rFonts w:ascii="Arial" w:hAnsi="Arial" w:cs="Arial"/>
          <w:sz w:val="24"/>
          <w:szCs w:val="24"/>
        </w:rPr>
        <w:t xml:space="preserve">estimate </w:t>
      </w:r>
      <w:r w:rsidR="00300E57">
        <w:rPr>
          <w:rFonts w:ascii="Arial" w:hAnsi="Arial" w:cs="Arial"/>
          <w:sz w:val="24"/>
          <w:szCs w:val="24"/>
        </w:rPr>
        <w:t>survival rate</w:t>
      </w:r>
      <w:r w:rsidR="007510AB">
        <w:rPr>
          <w:rFonts w:ascii="Arial" w:hAnsi="Arial" w:cs="Arial"/>
          <w:sz w:val="24"/>
          <w:szCs w:val="24"/>
        </w:rPr>
        <w:t xml:space="preserve"> </w:t>
      </w:r>
      <w:r w:rsidR="007510AB" w:rsidRPr="007510AB">
        <w:rPr>
          <w:rFonts w:ascii="Arial" w:hAnsi="Arial" w:cs="Arial"/>
          <w:b/>
          <w:sz w:val="24"/>
          <w:szCs w:val="24"/>
        </w:rPr>
        <w:t>(S</w:t>
      </w:r>
      <w:r w:rsidR="001C57A8">
        <w:rPr>
          <w:rFonts w:ascii="Arial" w:hAnsi="Arial" w:cs="Arial"/>
          <w:b/>
          <w:sz w:val="24"/>
          <w:szCs w:val="24"/>
        </w:rPr>
        <w:t>)</w:t>
      </w:r>
      <w:r w:rsidR="007510AB">
        <w:rPr>
          <w:rFonts w:ascii="Arial" w:hAnsi="Arial" w:cs="Arial"/>
          <w:sz w:val="24"/>
          <w:szCs w:val="24"/>
        </w:rPr>
        <w:t>.</w:t>
      </w:r>
    </w:p>
    <w:p w:rsidR="008D402F" w:rsidRDefault="008D402F">
      <w:pPr>
        <w:rPr>
          <w:rFonts w:ascii="Arial" w:hAnsi="Arial" w:cs="Arial"/>
          <w:sz w:val="24"/>
          <w:szCs w:val="24"/>
        </w:rPr>
      </w:pPr>
    </w:p>
    <w:p w:rsidR="008D402F" w:rsidRDefault="008D4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Discussion-</w:t>
      </w:r>
    </w:p>
    <w:p w:rsidR="008D402F" w:rsidRPr="00590802" w:rsidRDefault="008D402F" w:rsidP="008D4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Total calculated, </w:t>
      </w:r>
      <w:r w:rsidR="001C57A8">
        <w:rPr>
          <w:rFonts w:ascii="Arial" w:hAnsi="Arial" w:cs="Arial"/>
          <w:sz w:val="24"/>
          <w:szCs w:val="24"/>
        </w:rPr>
        <w:t xml:space="preserve">we </w:t>
      </w:r>
      <w:r>
        <w:rPr>
          <w:rFonts w:ascii="Arial" w:hAnsi="Arial" w:cs="Arial"/>
          <w:sz w:val="24"/>
          <w:szCs w:val="24"/>
        </w:rPr>
        <w:t xml:space="preserve">were </w:t>
      </w:r>
      <w:r w:rsidR="001C57A8">
        <w:rPr>
          <w:rFonts w:ascii="Arial" w:hAnsi="Arial" w:cs="Arial"/>
          <w:sz w:val="24"/>
          <w:szCs w:val="24"/>
        </w:rPr>
        <w:t xml:space="preserve">able </w:t>
      </w:r>
      <w:r>
        <w:rPr>
          <w:rFonts w:ascii="Arial" w:hAnsi="Arial" w:cs="Arial"/>
          <w:sz w:val="24"/>
          <w:szCs w:val="24"/>
        </w:rPr>
        <w:t xml:space="preserve">to create a table that would </w:t>
      </w:r>
      <w:r w:rsidR="00A65C08">
        <w:rPr>
          <w:rFonts w:ascii="Arial" w:hAnsi="Arial" w:cs="Arial"/>
          <w:sz w:val="24"/>
          <w:szCs w:val="24"/>
        </w:rPr>
        <w:t xml:space="preserve">calculate for </w:t>
      </w:r>
      <w:r>
        <w:rPr>
          <w:rFonts w:ascii="Arial" w:hAnsi="Arial" w:cs="Arial"/>
          <w:sz w:val="24"/>
          <w:szCs w:val="24"/>
        </w:rPr>
        <w:t xml:space="preserve">us what the </w:t>
      </w:r>
      <w:r w:rsidR="00A65C08">
        <w:rPr>
          <w:rFonts w:ascii="Arial" w:hAnsi="Arial" w:cs="Arial"/>
          <w:sz w:val="24"/>
          <w:szCs w:val="24"/>
        </w:rPr>
        <w:t xml:space="preserve">estimate </w:t>
      </w:r>
      <w:r>
        <w:rPr>
          <w:rFonts w:ascii="Arial" w:hAnsi="Arial" w:cs="Arial"/>
          <w:sz w:val="24"/>
          <w:szCs w:val="24"/>
        </w:rPr>
        <w:t xml:space="preserve">survival </w:t>
      </w:r>
      <w:r w:rsidR="00A65C08">
        <w:rPr>
          <w:rFonts w:ascii="Arial" w:hAnsi="Arial" w:cs="Arial"/>
          <w:sz w:val="24"/>
          <w:szCs w:val="24"/>
        </w:rPr>
        <w:t xml:space="preserve">rate would be in relation to our </w:t>
      </w:r>
      <w:r w:rsidR="00A65C08" w:rsidRPr="00A65C08">
        <w:rPr>
          <w:rFonts w:ascii="Arial" w:hAnsi="Arial" w:cs="Arial"/>
          <w:b/>
          <w:sz w:val="24"/>
          <w:szCs w:val="24"/>
        </w:rPr>
        <w:t>NLL</w:t>
      </w:r>
      <w:r>
        <w:rPr>
          <w:rFonts w:ascii="Arial" w:hAnsi="Arial" w:cs="Arial"/>
          <w:sz w:val="24"/>
          <w:szCs w:val="24"/>
        </w:rPr>
        <w:t xml:space="preserve">. We used a 95% confidence interval, and Chi </w:t>
      </w:r>
      <w:r>
        <w:rPr>
          <w:rFonts w:ascii="Arial" w:hAnsi="Arial" w:cs="Arial"/>
          <w:sz w:val="24"/>
          <w:szCs w:val="24"/>
        </w:rPr>
        <w:t>Squared</w:t>
      </w:r>
      <w:r>
        <w:rPr>
          <w:rFonts w:ascii="Arial" w:hAnsi="Arial" w:cs="Arial"/>
          <w:sz w:val="24"/>
          <w:szCs w:val="24"/>
        </w:rPr>
        <w:t xml:space="preserve"> test to create </w:t>
      </w:r>
      <w:r>
        <w:rPr>
          <w:rFonts w:ascii="Arial" w:hAnsi="Arial" w:cs="Arial"/>
          <w:sz w:val="24"/>
          <w:szCs w:val="24"/>
        </w:rPr>
        <w:t xml:space="preserve">a funnel plot. </w:t>
      </w:r>
      <w:r w:rsidR="00300E57">
        <w:rPr>
          <w:rFonts w:ascii="Arial" w:hAnsi="Arial" w:cs="Arial"/>
          <w:sz w:val="24"/>
          <w:szCs w:val="24"/>
        </w:rPr>
        <w:t xml:space="preserve">The funnel plot </w:t>
      </w:r>
      <w:r w:rsidR="00A65C08">
        <w:rPr>
          <w:rFonts w:ascii="Arial" w:hAnsi="Arial" w:cs="Arial"/>
          <w:sz w:val="24"/>
          <w:szCs w:val="24"/>
        </w:rPr>
        <w:t>displays</w:t>
      </w:r>
      <w:r w:rsidR="00300E57">
        <w:rPr>
          <w:rFonts w:ascii="Arial" w:hAnsi="Arial" w:cs="Arial"/>
          <w:sz w:val="24"/>
          <w:szCs w:val="24"/>
        </w:rPr>
        <w:t xml:space="preserve"> that the</w:t>
      </w:r>
      <w:r w:rsidR="001C57A8">
        <w:rPr>
          <w:rFonts w:ascii="Arial" w:hAnsi="Arial" w:cs="Arial"/>
          <w:sz w:val="24"/>
          <w:szCs w:val="24"/>
        </w:rPr>
        <w:t xml:space="preserve"> survival rate would be 0.73</w:t>
      </w:r>
      <w:r w:rsidR="00A65C08">
        <w:rPr>
          <w:rFonts w:ascii="Arial" w:hAnsi="Arial" w:cs="Arial"/>
          <w:sz w:val="24"/>
          <w:szCs w:val="24"/>
        </w:rPr>
        <w:t xml:space="preserve">. </w:t>
      </w:r>
      <w:r w:rsidR="00C53D00">
        <w:rPr>
          <w:rFonts w:ascii="Arial" w:hAnsi="Arial" w:cs="Arial"/>
          <w:sz w:val="24"/>
          <w:szCs w:val="24"/>
        </w:rPr>
        <w:t xml:space="preserve">We can </w:t>
      </w:r>
      <w:r w:rsidR="006A63E2">
        <w:rPr>
          <w:rFonts w:ascii="Arial" w:hAnsi="Arial" w:cs="Arial"/>
          <w:sz w:val="24"/>
          <w:szCs w:val="24"/>
        </w:rPr>
        <w:t xml:space="preserve">probably </w:t>
      </w:r>
      <w:r w:rsidR="00C53D00">
        <w:rPr>
          <w:rFonts w:ascii="Arial" w:hAnsi="Arial" w:cs="Arial"/>
          <w:sz w:val="24"/>
          <w:szCs w:val="24"/>
        </w:rPr>
        <w:t>assume that this is a high surv</w:t>
      </w:r>
      <w:r w:rsidR="009E3CD1">
        <w:rPr>
          <w:rFonts w:ascii="Arial" w:hAnsi="Arial" w:cs="Arial"/>
          <w:sz w:val="24"/>
          <w:szCs w:val="24"/>
        </w:rPr>
        <w:t xml:space="preserve">ival rate for this animal/fish based on our </w:t>
      </w:r>
      <w:r w:rsidR="00332793" w:rsidRPr="00332793">
        <w:rPr>
          <w:rFonts w:ascii="Arial" w:hAnsi="Arial" w:cs="Arial"/>
          <w:b/>
          <w:sz w:val="24"/>
          <w:szCs w:val="24"/>
        </w:rPr>
        <w:t>OTR</w:t>
      </w:r>
      <w:r w:rsidR="00332793">
        <w:rPr>
          <w:rFonts w:ascii="Arial" w:hAnsi="Arial" w:cs="Arial"/>
          <w:sz w:val="24"/>
          <w:szCs w:val="24"/>
        </w:rPr>
        <w:t xml:space="preserve"> and </w:t>
      </w:r>
      <w:r w:rsidR="00332793" w:rsidRPr="00332793">
        <w:rPr>
          <w:rFonts w:ascii="Arial" w:hAnsi="Arial" w:cs="Arial"/>
          <w:b/>
          <w:sz w:val="24"/>
          <w:szCs w:val="24"/>
        </w:rPr>
        <w:t>PTR</w:t>
      </w:r>
      <w:r w:rsidR="009E3CD1">
        <w:rPr>
          <w:rFonts w:ascii="Arial" w:hAnsi="Arial" w:cs="Arial"/>
          <w:sz w:val="24"/>
          <w:szCs w:val="24"/>
        </w:rPr>
        <w:t xml:space="preserve">. </w:t>
      </w:r>
    </w:p>
    <w:p w:rsidR="008D402F" w:rsidRPr="003E0929" w:rsidRDefault="008D402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D402F" w:rsidRPr="003E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A7"/>
    <w:rsid w:val="00062D7C"/>
    <w:rsid w:val="000938F4"/>
    <w:rsid w:val="000B7567"/>
    <w:rsid w:val="000E60B3"/>
    <w:rsid w:val="00174A3D"/>
    <w:rsid w:val="001C57A8"/>
    <w:rsid w:val="001F2A1A"/>
    <w:rsid w:val="002469FE"/>
    <w:rsid w:val="00300E57"/>
    <w:rsid w:val="00332793"/>
    <w:rsid w:val="003377E9"/>
    <w:rsid w:val="003E0929"/>
    <w:rsid w:val="00412F62"/>
    <w:rsid w:val="004742EF"/>
    <w:rsid w:val="004E7352"/>
    <w:rsid w:val="005068B0"/>
    <w:rsid w:val="00590802"/>
    <w:rsid w:val="006A63E2"/>
    <w:rsid w:val="006B3AED"/>
    <w:rsid w:val="006B6A12"/>
    <w:rsid w:val="007510AB"/>
    <w:rsid w:val="007D08BA"/>
    <w:rsid w:val="008D402F"/>
    <w:rsid w:val="009563DC"/>
    <w:rsid w:val="0095722A"/>
    <w:rsid w:val="009E3CD1"/>
    <w:rsid w:val="009F3284"/>
    <w:rsid w:val="00A14FA1"/>
    <w:rsid w:val="00A65C08"/>
    <w:rsid w:val="00A6769B"/>
    <w:rsid w:val="00BF32F2"/>
    <w:rsid w:val="00C4092D"/>
    <w:rsid w:val="00C53D00"/>
    <w:rsid w:val="00C6638E"/>
    <w:rsid w:val="00CB522B"/>
    <w:rsid w:val="00D843A7"/>
    <w:rsid w:val="00EB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01B0643"/>
  <w15:chartTrackingRefBased/>
  <w15:docId w15:val="{8CE17031-1724-4F5D-9688-B9E0471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722A"/>
    <w:pPr>
      <w:ind w:left="720"/>
      <w:contextualSpacing/>
    </w:pPr>
  </w:style>
  <w:style w:type="table" w:styleId="TableGrid">
    <w:name w:val="Table Grid"/>
    <w:basedOn w:val="TableNormal"/>
    <w:uiPriority w:val="39"/>
    <w:rsid w:val="00CB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</dc:creator>
  <cp:keywords/>
  <dc:description/>
  <cp:lastModifiedBy>Mel</cp:lastModifiedBy>
  <cp:revision>24</cp:revision>
  <dcterms:created xsi:type="dcterms:W3CDTF">2017-11-12T15:52:00Z</dcterms:created>
  <dcterms:modified xsi:type="dcterms:W3CDTF">2017-11-18T17:09:00Z</dcterms:modified>
</cp:coreProperties>
</file>