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6B5" w:rsidRPr="00096CE0" w:rsidRDefault="004E16B5" w:rsidP="00096CE0">
      <w:pPr>
        <w:jc w:val="center"/>
        <w:rPr>
          <w:b/>
          <w:u w:val="single"/>
        </w:rPr>
      </w:pPr>
      <w:bookmarkStart w:id="0" w:name="_GoBack"/>
      <w:r w:rsidRPr="00096CE0">
        <w:rPr>
          <w:b/>
          <w:u w:val="single"/>
        </w:rPr>
        <w:t>Homework 04</w:t>
      </w:r>
      <w:r w:rsidR="00096CE0" w:rsidRPr="00096CE0">
        <w:rPr>
          <w:b/>
          <w:u w:val="single"/>
        </w:rPr>
        <w:t xml:space="preserve"> – Answer Key</w:t>
      </w:r>
    </w:p>
    <w:bookmarkEnd w:id="0"/>
    <w:p w:rsidR="004E16B5" w:rsidRDefault="004E16B5"/>
    <w:p w:rsidR="004E16B5" w:rsidRPr="004E16B5" w:rsidRDefault="004E16B5" w:rsidP="004E16B5">
      <w:pPr>
        <w:shd w:val="clear" w:color="auto" w:fill="FFFFFF"/>
        <w:spacing w:after="150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For Homework 04, you will be using the HELP dataset, learn more at:</w:t>
      </w:r>
    </w:p>
    <w:p w:rsidR="004E16B5" w:rsidRPr="004E16B5" w:rsidRDefault="004E16B5" w:rsidP="004E16B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hyperlink r:id="rId5" w:history="1">
        <w:r w:rsidRPr="004E16B5">
          <w:rPr>
            <w:rFonts w:ascii="Source Sans Pro" w:eastAsia="Times New Roman" w:hAnsi="Source Sans Pro" w:cs="Times New Roman"/>
            <w:color w:val="158CBA"/>
            <w:sz w:val="21"/>
            <w:szCs w:val="21"/>
            <w:u w:val="single"/>
          </w:rPr>
          <w:t>https://melindahiggins2000.github.io/N736Fall2017_HELPdataset/</w:t>
        </w:r>
      </w:hyperlink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 &amp;</w:t>
      </w:r>
    </w:p>
    <w:p w:rsidR="004E16B5" w:rsidRPr="004E16B5" w:rsidRDefault="004E16B5" w:rsidP="004E16B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hyperlink r:id="rId6" w:history="1">
        <w:r w:rsidRPr="004E16B5">
          <w:rPr>
            <w:rFonts w:ascii="Source Sans Pro" w:eastAsia="Times New Roman" w:hAnsi="Source Sans Pro" w:cs="Times New Roman"/>
            <w:color w:val="158CBA"/>
            <w:sz w:val="21"/>
            <w:szCs w:val="21"/>
            <w:u w:val="single"/>
          </w:rPr>
          <w:t>https://github.com/melindahiggins2000/N736Fall2017_HELPdataset</w:t>
        </w:r>
      </w:hyperlink>
    </w:p>
    <w:p w:rsidR="004E16B5" w:rsidRPr="004E16B5" w:rsidRDefault="004E16B5" w:rsidP="004E16B5">
      <w:pPr>
        <w:shd w:val="clear" w:color="auto" w:fill="FFFFFF"/>
        <w:spacing w:after="150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Complete the following:</w:t>
      </w:r>
    </w:p>
    <w:p w:rsidR="004E16B5" w:rsidRPr="004E16B5" w:rsidRDefault="004E16B5" w:rsidP="004E16B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Perform a Simple Linear Regression for:</w:t>
      </w:r>
    </w:p>
    <w:p w:rsidR="004E16B5" w:rsidRPr="004E16B5" w:rsidRDefault="004E16B5" w:rsidP="004E16B5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OUTCOME variable </w:t>
      </w:r>
      <w:proofErr w:type="spellStart"/>
      <w:r w:rsidRPr="004E16B5">
        <w:rPr>
          <w:rFonts w:ascii="Courier New" w:eastAsia="Times New Roman" w:hAnsi="Courier New" w:cs="Courier New"/>
          <w:color w:val="555555"/>
          <w:sz w:val="19"/>
          <w:szCs w:val="19"/>
        </w:rPr>
        <w:t>indtot</w:t>
      </w:r>
      <w:proofErr w:type="spellEnd"/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: “Inventory of Drug Use Consequences (</w:t>
      </w:r>
      <w:proofErr w:type="spellStart"/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InDue</w:t>
      </w:r>
      <w:proofErr w:type="spellEnd"/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) total score - Baseline”</w:t>
      </w:r>
    </w:p>
    <w:p w:rsidR="004E16B5" w:rsidRPr="004E16B5" w:rsidRDefault="004E16B5" w:rsidP="004E16B5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PREDICTOR variable </w:t>
      </w:r>
      <w:proofErr w:type="spellStart"/>
      <w:r w:rsidRPr="004E16B5">
        <w:rPr>
          <w:rFonts w:ascii="Courier New" w:eastAsia="Times New Roman" w:hAnsi="Courier New" w:cs="Courier New"/>
          <w:color w:val="555555"/>
          <w:sz w:val="19"/>
          <w:szCs w:val="19"/>
        </w:rPr>
        <w:t>mcs</w:t>
      </w:r>
      <w:proofErr w:type="spellEnd"/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: “SF36 Mental Composite Score - Baseline”</w:t>
      </w:r>
    </w:p>
    <w:p w:rsidR="004E16B5" w:rsidRPr="004E16B5" w:rsidRDefault="004E16B5" w:rsidP="004E16B5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decide if you want to transform either variable </w:t>
      </w:r>
      <w:proofErr w:type="spellStart"/>
      <w:r w:rsidRPr="004E16B5">
        <w:rPr>
          <w:rFonts w:ascii="Courier New" w:eastAsia="Times New Roman" w:hAnsi="Courier New" w:cs="Courier New"/>
          <w:color w:val="555555"/>
          <w:sz w:val="19"/>
          <w:szCs w:val="19"/>
        </w:rPr>
        <w:t>indtot</w:t>
      </w:r>
      <w:proofErr w:type="spellEnd"/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 or </w:t>
      </w:r>
      <w:proofErr w:type="spellStart"/>
      <w:r w:rsidRPr="004E16B5">
        <w:rPr>
          <w:rFonts w:ascii="Courier New" w:eastAsia="Times New Roman" w:hAnsi="Courier New" w:cs="Courier New"/>
          <w:color w:val="555555"/>
          <w:sz w:val="19"/>
          <w:szCs w:val="19"/>
        </w:rPr>
        <w:t>mcs</w:t>
      </w:r>
      <w:proofErr w:type="spellEnd"/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 and if so, what transformation you applied and why</w:t>
      </w:r>
    </w:p>
    <w:p w:rsidR="004E16B5" w:rsidRPr="004E16B5" w:rsidRDefault="004E16B5" w:rsidP="004E16B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Perform regression diagnostics:</w:t>
      </w:r>
    </w:p>
    <w:p w:rsidR="004E16B5" w:rsidRPr="004E16B5" w:rsidRDefault="004E16B5" w:rsidP="004E16B5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check the normality of the residuals (histogram and Q-Q plots)</w:t>
      </w:r>
    </w:p>
    <w:p w:rsidR="004E16B5" w:rsidRPr="004E16B5" w:rsidRDefault="004E16B5" w:rsidP="004E16B5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proofErr w:type="gramStart"/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check</w:t>
      </w:r>
      <w:proofErr w:type="gramEnd"/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 for linearity - is there any systematic relationship between the residuals and the predicted (or fitted) values?</w:t>
      </w:r>
    </w:p>
    <w:p w:rsidR="004E16B5" w:rsidRPr="004E16B5" w:rsidRDefault="004E16B5" w:rsidP="004E16B5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proofErr w:type="gramStart"/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homoscedasticity</w:t>
      </w:r>
      <w:proofErr w:type="gramEnd"/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 - plot of standardized residuals versus fitted values - this is known as a “Scale-Location” graph.</w:t>
      </w:r>
    </w:p>
    <w:p w:rsidR="004E16B5" w:rsidRPr="004E16B5" w:rsidRDefault="004E16B5" w:rsidP="004E16B5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check for outliers and data points with high leverage or influence: outliers are often identified with standardized residuals &gt; 3 (or &lt;-3) and influential observations are often identified using Cook’s D</w:t>
      </w:r>
    </w:p>
    <w:p w:rsidR="004E16B5" w:rsidRPr="004E16B5" w:rsidRDefault="004E16B5" w:rsidP="004E16B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Provide a summary of the regression results.</w:t>
      </w:r>
    </w:p>
    <w:p w:rsidR="004E16B5" w:rsidRPr="004E16B5" w:rsidRDefault="004E16B5" w:rsidP="004E16B5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provide a </w:t>
      </w:r>
      <w:r w:rsidRPr="004E16B5">
        <w:rPr>
          <w:rFonts w:ascii="Source Sans Pro" w:eastAsia="Times New Roman" w:hAnsi="Source Sans Pro" w:cs="Times New Roman"/>
          <w:b/>
          <w:bCs/>
          <w:color w:val="555555"/>
          <w:sz w:val="21"/>
          <w:szCs w:val="21"/>
        </w:rPr>
        <w:t>FIGURE</w:t>
      </w:r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 of the model, in this case a scatterplot with the fitted line overlaid and 95% confidence intervals if you can</w:t>
      </w:r>
    </w:p>
    <w:p w:rsidR="004E16B5" w:rsidRPr="004E16B5" w:rsidRDefault="004E16B5" w:rsidP="004E16B5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Make a </w:t>
      </w:r>
      <w:r w:rsidRPr="004E16B5">
        <w:rPr>
          <w:rFonts w:ascii="Source Sans Pro" w:eastAsia="Times New Roman" w:hAnsi="Source Sans Pro" w:cs="Times New Roman"/>
          <w:b/>
          <w:bCs/>
          <w:color w:val="555555"/>
          <w:sz w:val="21"/>
          <w:szCs w:val="21"/>
        </w:rPr>
        <w:t>TABLE</w:t>
      </w:r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 presenting the fitted regression model (coefficients and tests of significance for those coefficients)</w:t>
      </w:r>
    </w:p>
    <w:p w:rsidR="004E16B5" w:rsidRPr="004E16B5" w:rsidRDefault="004E16B5" w:rsidP="004E16B5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describe the variance explained by the model (based on r2)</w:t>
      </w:r>
    </w:p>
    <w:p w:rsidR="004E16B5" w:rsidRPr="004E16B5" w:rsidRDefault="004E16B5" w:rsidP="004E16B5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describe the model itself based on the y-intercept and slope terms</w:t>
      </w:r>
    </w:p>
    <w:p w:rsidR="004E16B5" w:rsidRPr="004E16B5" w:rsidRDefault="004E16B5" w:rsidP="004E16B5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note any limitations or issues with the model fit or interpretation of the model</w:t>
      </w:r>
    </w:p>
    <w:p w:rsidR="004E16B5" w:rsidRPr="004E16B5" w:rsidRDefault="004E16B5" w:rsidP="004E16B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Perform a One-way ANOVA for:</w:t>
      </w:r>
    </w:p>
    <w:p w:rsidR="004E16B5" w:rsidRPr="004E16B5" w:rsidRDefault="004E16B5" w:rsidP="004E16B5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OUTCOME variable </w:t>
      </w:r>
      <w:proofErr w:type="spellStart"/>
      <w:r w:rsidRPr="004E16B5">
        <w:rPr>
          <w:rFonts w:ascii="Courier New" w:eastAsia="Times New Roman" w:hAnsi="Courier New" w:cs="Courier New"/>
          <w:color w:val="555555"/>
          <w:sz w:val="19"/>
          <w:szCs w:val="19"/>
        </w:rPr>
        <w:t>indtot</w:t>
      </w:r>
      <w:proofErr w:type="spellEnd"/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: “Inventory of Drug Use Consequences (</w:t>
      </w:r>
      <w:proofErr w:type="spellStart"/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InDue</w:t>
      </w:r>
      <w:proofErr w:type="spellEnd"/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) total score - Baseline”</w:t>
      </w:r>
    </w:p>
    <w:p w:rsidR="004E16B5" w:rsidRPr="004E16B5" w:rsidRDefault="004E16B5" w:rsidP="004E16B5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GROUP variable </w:t>
      </w:r>
      <w:proofErr w:type="spellStart"/>
      <w:r w:rsidRPr="004E16B5">
        <w:rPr>
          <w:rFonts w:ascii="Courier New" w:eastAsia="Times New Roman" w:hAnsi="Courier New" w:cs="Courier New"/>
          <w:color w:val="555555"/>
          <w:sz w:val="19"/>
          <w:szCs w:val="19"/>
        </w:rPr>
        <w:t>racegrp</w:t>
      </w:r>
      <w:proofErr w:type="spellEnd"/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: “Racial Group of Respondent”</w:t>
      </w:r>
    </w:p>
    <w:p w:rsidR="004E16B5" w:rsidRPr="004E16B5" w:rsidRDefault="004E16B5" w:rsidP="004E16B5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I would suggest merging “other” and “</w:t>
      </w:r>
      <w:proofErr w:type="spellStart"/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hispanic</w:t>
      </w:r>
      <w:proofErr w:type="spellEnd"/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” together and create a 3-group variable for race, since the “other” category is only about 6% of the sample.</w:t>
      </w:r>
    </w:p>
    <w:p w:rsidR="004E16B5" w:rsidRPr="004E16B5" w:rsidRDefault="004E16B5" w:rsidP="004E16B5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options - you can use either an ANOVA or GLM modeling approach</w:t>
      </w:r>
    </w:p>
    <w:p w:rsidR="004E16B5" w:rsidRPr="004E16B5" w:rsidRDefault="004E16B5" w:rsidP="004E16B5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if the GROUP variable is significant, also perform </w:t>
      </w:r>
      <w:r w:rsidRPr="004E16B5">
        <w:rPr>
          <w:rFonts w:ascii="Source Sans Pro" w:eastAsia="Times New Roman" w:hAnsi="Source Sans Pro" w:cs="Times New Roman"/>
          <w:i/>
          <w:iCs/>
          <w:color w:val="555555"/>
          <w:sz w:val="21"/>
          <w:szCs w:val="21"/>
        </w:rPr>
        <w:t>post hoc</w:t>
      </w:r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 tests - use some kind of pairwise error rate adjustment (i.e. </w:t>
      </w:r>
      <w:proofErr w:type="spellStart"/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bonferroni</w:t>
      </w:r>
      <w:proofErr w:type="spellEnd"/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, </w:t>
      </w:r>
      <w:proofErr w:type="spellStart"/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sidak</w:t>
      </w:r>
      <w:proofErr w:type="spellEnd"/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, Tukey’s HSD, </w:t>
      </w:r>
      <w:proofErr w:type="spellStart"/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etc</w:t>
      </w:r>
      <w:proofErr w:type="spellEnd"/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) - be sure to report which one you used and why</w:t>
      </w:r>
    </w:p>
    <w:p w:rsidR="004E16B5" w:rsidRPr="004E16B5" w:rsidRDefault="004E16B5" w:rsidP="004E16B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Perform model diagnostics:</w:t>
      </w:r>
    </w:p>
    <w:p w:rsidR="004E16B5" w:rsidRPr="004E16B5" w:rsidRDefault="004E16B5" w:rsidP="004E16B5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proofErr w:type="gramStart"/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homoscedasticity</w:t>
      </w:r>
      <w:proofErr w:type="gramEnd"/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 - look at a test for equal variance (</w:t>
      </w:r>
      <w:proofErr w:type="spellStart"/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Levene’s</w:t>
      </w:r>
      <w:proofErr w:type="spellEnd"/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 test or Bartlett’s test).</w:t>
      </w:r>
    </w:p>
    <w:p w:rsidR="004E16B5" w:rsidRPr="004E16B5" w:rsidRDefault="004E16B5" w:rsidP="004E16B5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if this test of equal variances fails, you may want to report a modified F-test (e.g. Welch’s test)</w:t>
      </w:r>
    </w:p>
    <w:p w:rsidR="004E16B5" w:rsidRPr="004E16B5" w:rsidRDefault="004E16B5" w:rsidP="004E16B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Present a summary of the ANOVA results.</w:t>
      </w:r>
    </w:p>
    <w:p w:rsidR="004E16B5" w:rsidRPr="004E16B5" w:rsidRDefault="004E16B5" w:rsidP="004E16B5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lastRenderedPageBreak/>
        <w:t>Make a </w:t>
      </w:r>
      <w:r w:rsidRPr="004E16B5">
        <w:rPr>
          <w:rFonts w:ascii="Source Sans Pro" w:eastAsia="Times New Roman" w:hAnsi="Source Sans Pro" w:cs="Times New Roman"/>
          <w:b/>
          <w:bCs/>
          <w:color w:val="555555"/>
          <w:sz w:val="21"/>
          <w:szCs w:val="21"/>
        </w:rPr>
        <w:t>FIGURE</w:t>
      </w:r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 of the group mean differences - either an error-bar plot or a series of boxplots one for each group to show the group differences in the outcome</w:t>
      </w:r>
    </w:p>
    <w:p w:rsidR="004E16B5" w:rsidRPr="004E16B5" w:rsidRDefault="004E16B5" w:rsidP="004E16B5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Make a </w:t>
      </w:r>
      <w:r w:rsidRPr="004E16B5">
        <w:rPr>
          <w:rFonts w:ascii="Source Sans Pro" w:eastAsia="Times New Roman" w:hAnsi="Source Sans Pro" w:cs="Times New Roman"/>
          <w:b/>
          <w:bCs/>
          <w:color w:val="555555"/>
          <w:sz w:val="21"/>
          <w:szCs w:val="21"/>
        </w:rPr>
        <w:t>TABLE</w:t>
      </w:r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 presenting the ANOVA results</w:t>
      </w:r>
    </w:p>
    <w:p w:rsidR="004E16B5" w:rsidRPr="004E16B5" w:rsidRDefault="004E16B5" w:rsidP="004E16B5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proofErr w:type="gramStart"/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describe</w:t>
      </w:r>
      <w:proofErr w:type="gramEnd"/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 the model results - was the GROUP (</w:t>
      </w:r>
      <w:proofErr w:type="spellStart"/>
      <w:r w:rsidRPr="004E16B5">
        <w:rPr>
          <w:rFonts w:ascii="Courier New" w:eastAsia="Times New Roman" w:hAnsi="Courier New" w:cs="Courier New"/>
          <w:color w:val="555555"/>
          <w:sz w:val="19"/>
          <w:szCs w:val="19"/>
        </w:rPr>
        <w:t>racegrp</w:t>
      </w:r>
      <w:proofErr w:type="spellEnd"/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) significant?</w:t>
      </w:r>
    </w:p>
    <w:p w:rsidR="004E16B5" w:rsidRDefault="004E16B5" w:rsidP="004E16B5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4E16B5">
        <w:rPr>
          <w:rFonts w:ascii="Source Sans Pro" w:eastAsia="Times New Roman" w:hAnsi="Source Sans Pro" w:cs="Times New Roman"/>
          <w:color w:val="555555"/>
          <w:sz w:val="21"/>
          <w:szCs w:val="21"/>
        </w:rPr>
        <w:t>If GROUP is significant, what did the post hoc tests reveal?</w:t>
      </w:r>
    </w:p>
    <w:p w:rsidR="007B5F13" w:rsidRPr="004E16B5" w:rsidRDefault="007B5F13" w:rsidP="007B5F13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</w:p>
    <w:p w:rsidR="007B5F13" w:rsidRDefault="007B5F13">
      <w:r>
        <w:br w:type="page"/>
      </w:r>
    </w:p>
    <w:p w:rsidR="004E16B5" w:rsidRPr="003331AD" w:rsidRDefault="003331AD">
      <w:pPr>
        <w:rPr>
          <w:b/>
          <w:u w:val="single"/>
        </w:rPr>
      </w:pPr>
      <w:r w:rsidRPr="003331AD">
        <w:rPr>
          <w:b/>
          <w:u w:val="single"/>
        </w:rPr>
        <w:lastRenderedPageBreak/>
        <w:t>Simple Linear Regression of Inventory of Drug Use Consequences Total Score (</w:t>
      </w:r>
      <w:proofErr w:type="spellStart"/>
      <w:r w:rsidRPr="003331AD">
        <w:rPr>
          <w:b/>
          <w:u w:val="single"/>
        </w:rPr>
        <w:t>indtot</w:t>
      </w:r>
      <w:proofErr w:type="spellEnd"/>
      <w:r w:rsidRPr="003331AD">
        <w:rPr>
          <w:b/>
          <w:u w:val="single"/>
        </w:rPr>
        <w:t>) against SF36 Mental Composite Score (</w:t>
      </w:r>
      <w:proofErr w:type="spellStart"/>
      <w:r w:rsidRPr="003331AD">
        <w:rPr>
          <w:b/>
          <w:u w:val="single"/>
        </w:rPr>
        <w:t>mcs</w:t>
      </w:r>
      <w:proofErr w:type="spellEnd"/>
      <w:r w:rsidRPr="003331AD">
        <w:rPr>
          <w:b/>
          <w:u w:val="single"/>
        </w:rPr>
        <w:t>)</w:t>
      </w:r>
    </w:p>
    <w:p w:rsidR="004E16B5" w:rsidRDefault="004E16B5" w:rsidP="008E7647">
      <w:pPr>
        <w:rPr>
          <w:rFonts w:cstheme="minorHAnsi"/>
          <w:sz w:val="20"/>
          <w:szCs w:val="20"/>
        </w:rPr>
      </w:pPr>
    </w:p>
    <w:p w:rsidR="008E7647" w:rsidRPr="008E7647" w:rsidRDefault="008E7647" w:rsidP="008E764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linear regression model was performed for the Inventory of Drug Use Consequences Total Score (</w:t>
      </w:r>
      <w:r w:rsidR="00CE68E5">
        <w:rPr>
          <w:rFonts w:cstheme="minorHAnsi"/>
          <w:sz w:val="20"/>
          <w:szCs w:val="20"/>
        </w:rPr>
        <w:t>INDTOT</w:t>
      </w:r>
      <w:r>
        <w:rPr>
          <w:rFonts w:cstheme="minorHAnsi"/>
          <w:sz w:val="20"/>
          <w:szCs w:val="20"/>
        </w:rPr>
        <w:t>) against the SF36 Mental Composite Score (</w:t>
      </w:r>
      <w:r w:rsidR="00CE68E5">
        <w:rPr>
          <w:rFonts w:cstheme="minorHAnsi"/>
          <w:sz w:val="20"/>
          <w:szCs w:val="20"/>
        </w:rPr>
        <w:t>MCS</w:t>
      </w:r>
      <w:r>
        <w:rPr>
          <w:rFonts w:cstheme="minorHAnsi"/>
          <w:sz w:val="20"/>
          <w:szCs w:val="20"/>
        </w:rPr>
        <w:t>). The fitted model was significant (</w:t>
      </w:r>
      <w:proofErr w:type="gramStart"/>
      <w:r>
        <w:rPr>
          <w:rFonts w:cstheme="minorHAnsi"/>
          <w:sz w:val="20"/>
          <w:szCs w:val="20"/>
        </w:rPr>
        <w:t>F(</w:t>
      </w:r>
      <w:proofErr w:type="gramEnd"/>
      <w:r>
        <w:rPr>
          <w:rFonts w:cstheme="minorHAnsi"/>
          <w:sz w:val="20"/>
          <w:szCs w:val="20"/>
        </w:rPr>
        <w:t>1,451)=76.407, p&lt;.001)</w:t>
      </w:r>
      <w:r w:rsidR="00CE68E5">
        <w:rPr>
          <w:rFonts w:cstheme="minorHAnsi"/>
          <w:sz w:val="20"/>
          <w:szCs w:val="20"/>
        </w:rPr>
        <w:t xml:space="preserve">, with MCS explaining 14.3% of the variability in INDTOT (adjusted R2=0.143). </w:t>
      </w:r>
      <w:r>
        <w:rPr>
          <w:rFonts w:cstheme="minorHAnsi"/>
          <w:sz w:val="20"/>
          <w:szCs w:val="20"/>
        </w:rPr>
        <w:t xml:space="preserve">The association between </w:t>
      </w:r>
      <w:proofErr w:type="spellStart"/>
      <w:r>
        <w:rPr>
          <w:rFonts w:cstheme="minorHAnsi"/>
          <w:sz w:val="20"/>
          <w:szCs w:val="20"/>
        </w:rPr>
        <w:t>mcs</w:t>
      </w:r>
      <w:proofErr w:type="spellEnd"/>
      <w:r>
        <w:rPr>
          <w:rFonts w:cstheme="minorHAnsi"/>
          <w:sz w:val="20"/>
          <w:szCs w:val="20"/>
        </w:rPr>
        <w:t xml:space="preserve"> and </w:t>
      </w:r>
      <w:proofErr w:type="spellStart"/>
      <w:r>
        <w:rPr>
          <w:rFonts w:cstheme="minorHAnsi"/>
          <w:sz w:val="20"/>
          <w:szCs w:val="20"/>
        </w:rPr>
        <w:t>indtot</w:t>
      </w:r>
      <w:proofErr w:type="spellEnd"/>
      <w:r>
        <w:rPr>
          <w:rFonts w:cstheme="minorHAnsi"/>
          <w:sz w:val="20"/>
          <w:szCs w:val="20"/>
        </w:rPr>
        <w:t xml:space="preserve"> was moderate-to-strong with a standardized slope term = -0.381. In terms of the original units, for every 10 points higher someone scored on their MCS, their drug use consequences decreased by 2.12 points. </w:t>
      </w:r>
      <w:r w:rsidR="00CE68E5">
        <w:rPr>
          <w:rFonts w:cstheme="minorHAnsi"/>
          <w:sz w:val="20"/>
          <w:szCs w:val="20"/>
        </w:rPr>
        <w:t xml:space="preserve">The intercept estimated an average INDTOT score of 42.445 for an MCS=0 (which is unlikely). </w:t>
      </w:r>
    </w:p>
    <w:p w:rsidR="008E7647" w:rsidRPr="008E7647" w:rsidRDefault="008E7647" w:rsidP="008E764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tbl>
      <w:tblPr>
        <w:tblW w:w="0" w:type="auto"/>
        <w:tblInd w:w="-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1"/>
        <w:gridCol w:w="826"/>
        <w:gridCol w:w="579"/>
        <w:gridCol w:w="1185"/>
        <w:gridCol w:w="678"/>
        <w:gridCol w:w="723"/>
        <w:gridCol w:w="1197"/>
        <w:gridCol w:w="1203"/>
      </w:tblGrid>
      <w:tr w:rsidR="008E7647" w:rsidRPr="008E7647" w:rsidTr="008E764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Unstandardized</w:t>
            </w:r>
          </w:p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Coefficients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Standardized</w:t>
            </w:r>
          </w:p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Coefficients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 xml:space="preserve">95.0% Confidence </w:t>
            </w:r>
          </w:p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Interval for B</w:t>
            </w:r>
          </w:p>
        </w:tc>
      </w:tr>
      <w:tr w:rsidR="008E7647" w:rsidRPr="008E7647" w:rsidTr="008E764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SE</w:t>
            </w:r>
            <w:r w:rsidRPr="008E7647">
              <w:rPr>
                <w:rFonts w:cstheme="minorHAnsi"/>
                <w:color w:val="000000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Lower Bound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Upper Bound</w:t>
            </w:r>
          </w:p>
        </w:tc>
      </w:tr>
      <w:tr w:rsidR="008E7647" w:rsidRPr="008E7647" w:rsidTr="008E764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42.445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.829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51.203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&lt;</w:t>
            </w:r>
            <w:r w:rsidRPr="008E7647">
              <w:rPr>
                <w:rFonts w:cstheme="minorHAnsi"/>
                <w:color w:val="000000"/>
                <w:sz w:val="20"/>
                <w:szCs w:val="20"/>
              </w:rPr>
              <w:t>.00</w:t>
            </w: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40.816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44.074</w:t>
            </w:r>
          </w:p>
        </w:tc>
      </w:tr>
      <w:tr w:rsidR="008E7647" w:rsidRPr="008E7647" w:rsidTr="008E764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FFFFFF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SF36 M</w:t>
            </w:r>
            <w:r>
              <w:rPr>
                <w:rFonts w:cstheme="minorHAnsi"/>
                <w:color w:val="000000"/>
                <w:sz w:val="20"/>
                <w:szCs w:val="20"/>
              </w:rPr>
              <w:t>ental Composite Score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-.212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.024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-.381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-8.741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&lt;.001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-.260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-.164</w:t>
            </w:r>
          </w:p>
        </w:tc>
      </w:tr>
    </w:tbl>
    <w:p w:rsidR="008E7647" w:rsidRDefault="008E7647" w:rsidP="008E764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E02185" w:rsidRPr="008E7647" w:rsidRDefault="00E02185" w:rsidP="008E7647">
      <w:pPr>
        <w:autoSpaceDE w:val="0"/>
        <w:autoSpaceDN w:val="0"/>
        <w:adjustRightInd w:val="0"/>
        <w:rPr>
          <w:rFonts w:cstheme="minorHAnsi"/>
          <w:b/>
          <w:sz w:val="20"/>
          <w:szCs w:val="20"/>
          <w:u w:val="single"/>
        </w:rPr>
      </w:pPr>
      <w:r w:rsidRPr="00E02185">
        <w:rPr>
          <w:rFonts w:cstheme="minorHAnsi"/>
          <w:b/>
          <w:sz w:val="20"/>
          <w:szCs w:val="20"/>
          <w:u w:val="single"/>
        </w:rPr>
        <w:t>Figure: Plot of the fitted line for INDTOT against MCS with 95% Confidence Intervals overlaid</w:t>
      </w:r>
    </w:p>
    <w:p w:rsidR="008E7647" w:rsidRPr="008E7647" w:rsidRDefault="008E7647" w:rsidP="008E7647">
      <w:pPr>
        <w:rPr>
          <w:rFonts w:cstheme="minorHAnsi"/>
          <w:sz w:val="20"/>
          <w:szCs w:val="20"/>
        </w:rPr>
      </w:pPr>
    </w:p>
    <w:p w:rsidR="008E7647" w:rsidRDefault="008E7647">
      <w:r w:rsidRPr="008E7647">
        <w:drawing>
          <wp:inline distT="0" distB="0" distL="0" distR="0">
            <wp:extent cx="5877816" cy="46297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33" b="49897"/>
                    <a:stretch/>
                  </pic:blipFill>
                  <pic:spPr bwMode="auto">
                    <a:xfrm>
                      <a:off x="0" y="0"/>
                      <a:ext cx="5890468" cy="463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647" w:rsidRDefault="008E7647"/>
    <w:p w:rsidR="00CE68E5" w:rsidRDefault="00CE68E5"/>
    <w:p w:rsidR="00CE68E5" w:rsidRDefault="00CE68E5"/>
    <w:p w:rsidR="00CE68E5" w:rsidRDefault="00CE68E5"/>
    <w:p w:rsidR="004E16B5" w:rsidRPr="00CE68E5" w:rsidRDefault="00CE68E5">
      <w:pPr>
        <w:rPr>
          <w:b/>
          <w:u w:val="single"/>
        </w:rPr>
      </w:pPr>
      <w:r w:rsidRPr="00CE68E5">
        <w:rPr>
          <w:b/>
          <w:u w:val="single"/>
        </w:rPr>
        <w:lastRenderedPageBreak/>
        <w:t>Regression Diagnostics</w:t>
      </w:r>
    </w:p>
    <w:p w:rsidR="00CE68E5" w:rsidRDefault="00CE68E5"/>
    <w:p w:rsidR="00CE68E5" w:rsidRDefault="00CE68E5">
      <w:r>
        <w:t>The residuals are slightly skewed to the left, but the skewness is mild and the sample size here is large (n=453). These are OK.</w:t>
      </w:r>
    </w:p>
    <w:p w:rsidR="00CE68E5" w:rsidRDefault="00CE68E5"/>
    <w:p w:rsidR="00CE68E5" w:rsidRDefault="00CE68E5">
      <w:r w:rsidRPr="00CE68E5">
        <w:drawing>
          <wp:inline distT="0" distB="0" distL="0" distR="0">
            <wp:extent cx="2779776" cy="2185416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9904" b="50797"/>
                    <a:stretch/>
                  </pic:blipFill>
                  <pic:spPr bwMode="auto">
                    <a:xfrm>
                      <a:off x="0" y="0"/>
                      <a:ext cx="2779776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CE68E5">
        <w:drawing>
          <wp:inline distT="0" distB="0" distL="0" distR="0">
            <wp:extent cx="2761488" cy="215798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54" b="51073"/>
                    <a:stretch/>
                  </pic:blipFill>
                  <pic:spPr bwMode="auto">
                    <a:xfrm>
                      <a:off x="0" y="0"/>
                      <a:ext cx="2761488" cy="215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8E5" w:rsidRDefault="00CE68E5"/>
    <w:p w:rsidR="00CE68E5" w:rsidRPr="004007AE" w:rsidRDefault="00CE68E5">
      <w:pPr>
        <w:rPr>
          <w:b/>
          <w:u w:val="single"/>
        </w:rPr>
      </w:pPr>
      <w:r w:rsidRPr="004007AE">
        <w:rPr>
          <w:b/>
          <w:u w:val="single"/>
        </w:rPr>
        <w:t>Homoscedasticity</w:t>
      </w:r>
    </w:p>
    <w:p w:rsidR="00CE68E5" w:rsidRDefault="00CE68E5"/>
    <w:p w:rsidR="004007AE" w:rsidRDefault="004007AE">
      <w:r>
        <w:t>The variability of the residuals appears to be pretty constant across the predicted values.</w:t>
      </w:r>
    </w:p>
    <w:p w:rsidR="004007AE" w:rsidRDefault="004007AE"/>
    <w:p w:rsidR="00CE68E5" w:rsidRDefault="00CE68E5" w:rsidP="00E02185">
      <w:pPr>
        <w:jc w:val="center"/>
      </w:pPr>
      <w:r w:rsidRPr="00CE68E5">
        <w:drawing>
          <wp:inline distT="0" distB="0" distL="0" distR="0">
            <wp:extent cx="5015310" cy="382535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8196" b="50589"/>
                    <a:stretch/>
                  </pic:blipFill>
                  <pic:spPr bwMode="auto">
                    <a:xfrm>
                      <a:off x="0" y="0"/>
                      <a:ext cx="5035917" cy="384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8E5" w:rsidRDefault="00CE68E5"/>
    <w:p w:rsidR="004007AE" w:rsidRDefault="004007A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E68E5" w:rsidRPr="004007AE" w:rsidRDefault="004007AE">
      <w:pPr>
        <w:rPr>
          <w:b/>
          <w:u w:val="single"/>
        </w:rPr>
      </w:pPr>
      <w:r w:rsidRPr="004007AE">
        <w:rPr>
          <w:b/>
          <w:u w:val="single"/>
        </w:rPr>
        <w:lastRenderedPageBreak/>
        <w:t>Outliers</w:t>
      </w:r>
    </w:p>
    <w:p w:rsidR="004007AE" w:rsidRDefault="004007AE"/>
    <w:p w:rsidR="004007AE" w:rsidRDefault="004007AE">
      <w:r>
        <w:t>In reviewing the Cook’s D distances and the Standardized Residuals, there appears to be a few cases where the residuals were &lt;-3 (more than 3 standard deviations from the mean) indicating influential outliers. These were for cases (IDs) 12, 50, 280, 379, 396, 418, 466. However, given</w:t>
      </w:r>
      <w:r w:rsidR="00E02185">
        <w:t xml:space="preserve"> </w:t>
      </w:r>
      <w:r>
        <w:t>the slightly skew</w:t>
      </w:r>
      <w:r w:rsidR="00E02185">
        <w:t>n</w:t>
      </w:r>
      <w:r>
        <w:t xml:space="preserve">ess, these outliers are not extreme. We could rerun the regression model using a bootstrapping approach to obtain a more robust </w:t>
      </w:r>
      <w:r w:rsidR="00E02185">
        <w:t>slope estimate to minimize the influence of these few outliers.</w:t>
      </w:r>
    </w:p>
    <w:p w:rsidR="004007AE" w:rsidRDefault="004007AE"/>
    <w:p w:rsidR="00CE68E5" w:rsidRDefault="00CE68E5">
      <w:r w:rsidRPr="00CE68E5">
        <w:drawing>
          <wp:inline distT="0" distB="0" distL="0" distR="0">
            <wp:extent cx="2852928" cy="21762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640" b="51073"/>
                    <a:stretch/>
                  </pic:blipFill>
                  <pic:spPr bwMode="auto">
                    <a:xfrm>
                      <a:off x="0" y="0"/>
                      <a:ext cx="2852928" cy="217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07AE">
        <w:t xml:space="preserve"> </w:t>
      </w:r>
      <w:r w:rsidRPr="00CE68E5">
        <w:drawing>
          <wp:inline distT="0" distB="0" distL="0" distR="0">
            <wp:extent cx="2825496" cy="218541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75" b="50797"/>
                    <a:stretch/>
                  </pic:blipFill>
                  <pic:spPr bwMode="auto">
                    <a:xfrm>
                      <a:off x="0" y="0"/>
                      <a:ext cx="2825496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8E5" w:rsidRDefault="00CE68E5"/>
    <w:p w:rsidR="00E02185" w:rsidRDefault="00E02185"/>
    <w:p w:rsidR="00E02185" w:rsidRDefault="00E02185"/>
    <w:p w:rsidR="00E02185" w:rsidRDefault="00E02185">
      <w:r>
        <w:br w:type="page"/>
      </w:r>
    </w:p>
    <w:p w:rsidR="00E02185" w:rsidRPr="00E02185" w:rsidRDefault="00E02185">
      <w:pPr>
        <w:rPr>
          <w:b/>
          <w:u w:val="single"/>
        </w:rPr>
      </w:pPr>
      <w:r w:rsidRPr="00E02185">
        <w:rPr>
          <w:b/>
          <w:u w:val="single"/>
        </w:rPr>
        <w:lastRenderedPageBreak/>
        <w:t>ONEWAY ANOVA – Inventory of Drug Use Consequences total score (INDTOT) versus Race (</w:t>
      </w:r>
      <w:proofErr w:type="spellStart"/>
      <w:r w:rsidRPr="00E02185">
        <w:rPr>
          <w:b/>
          <w:u w:val="single"/>
        </w:rPr>
        <w:t>racegrp</w:t>
      </w:r>
      <w:proofErr w:type="spellEnd"/>
      <w:r w:rsidRPr="00E02185">
        <w:rPr>
          <w:b/>
          <w:u w:val="single"/>
        </w:rPr>
        <w:t>)</w:t>
      </w:r>
    </w:p>
    <w:p w:rsidR="00E02185" w:rsidRDefault="00E02185"/>
    <w:p w:rsidR="001C47D4" w:rsidRDefault="001C47D4">
      <w:r>
        <w:t>White subjects had the highest INDTOT scores averaging 37.58 +/- 6.04, followed by Hispanic/</w:t>
      </w:r>
      <w:proofErr w:type="gramStart"/>
      <w:r>
        <w:t>Other</w:t>
      </w:r>
      <w:proofErr w:type="gramEnd"/>
      <w:r>
        <w:t xml:space="preserve"> with average scores 35.74 +/- 6.91 with Black subjects having the lowest scores averaging 34.27 +/- 7.72. There were significant differences between the 3 races (</w:t>
      </w:r>
      <w:proofErr w:type="gramStart"/>
      <w:r>
        <w:t>F(</w:t>
      </w:r>
      <w:proofErr w:type="gramEnd"/>
      <w:r>
        <w:t>2, 450)=10.350, p&lt;.001). While the homogeneity of variance test (</w:t>
      </w:r>
      <w:proofErr w:type="spellStart"/>
      <w:r>
        <w:t>Levene’s</w:t>
      </w:r>
      <w:proofErr w:type="spellEnd"/>
      <w:r>
        <w:t xml:space="preserve"> test was statistically significant (</w:t>
      </w:r>
      <w:proofErr w:type="gramStart"/>
      <w:r>
        <w:t>F(</w:t>
      </w:r>
      <w:proofErr w:type="gramEnd"/>
      <w:r>
        <w:t>2,450)=3.495, p=.031), the ratio of the variances for the race with the highest variance to the smallest variance = (7.716)</w:t>
      </w:r>
      <w:r w:rsidRPr="001C47D4">
        <w:rPr>
          <w:vertAlign w:val="superscript"/>
        </w:rPr>
        <w:t>2</w:t>
      </w:r>
      <w:r>
        <w:t>/(6.039)</w:t>
      </w:r>
      <w:r w:rsidRPr="001C47D4">
        <w:rPr>
          <w:vertAlign w:val="superscript"/>
        </w:rPr>
        <w:t>2</w:t>
      </w:r>
      <w:r>
        <w:t xml:space="preserve"> = 1.63 which is &lt; 3 and &lt; 4 both common rules of thumb when reviewing assumptions of equal variance. </w:t>
      </w:r>
    </w:p>
    <w:p w:rsidR="001C47D4" w:rsidRPr="001C47D4" w:rsidRDefault="001C47D4" w:rsidP="001C47D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16"/>
        <w:gridCol w:w="1238"/>
        <w:gridCol w:w="2607"/>
        <w:gridCol w:w="894"/>
      </w:tblGrid>
      <w:tr w:rsidR="001C47D4" w:rsidRPr="001C47D4" w:rsidTr="001C47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4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Descriptive Statistics</w:t>
            </w:r>
          </w:p>
        </w:tc>
      </w:tr>
      <w:tr w:rsidR="001C47D4" w:rsidRPr="001C47D4" w:rsidTr="001C47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4"/>
            <w:shd w:val="clear" w:color="auto" w:fill="FFFFFF"/>
            <w:vAlign w:val="bottom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Dependent Variable:   </w:t>
            </w:r>
            <w:proofErr w:type="spellStart"/>
            <w:r w:rsidRPr="001C47D4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indtot</w:t>
            </w:r>
            <w:proofErr w:type="spellEnd"/>
            <w:r w:rsidRPr="001C47D4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Inventory of Drug Use Consequences (</w:t>
            </w:r>
            <w:proofErr w:type="spellStart"/>
            <w:r w:rsidRPr="001C47D4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InDue</w:t>
            </w:r>
            <w:proofErr w:type="spellEnd"/>
            <w:r w:rsidRPr="001C47D4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) total score - Baseline  </w:t>
            </w:r>
          </w:p>
        </w:tc>
      </w:tr>
      <w:tr w:rsidR="001C47D4" w:rsidRPr="001C47D4" w:rsidTr="001C47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FFFFFF"/>
            <w:vAlign w:val="bottom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race3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Std. Deviation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N</w:t>
            </w:r>
          </w:p>
        </w:tc>
      </w:tr>
      <w:tr w:rsidR="001C47D4" w:rsidRPr="001C47D4" w:rsidTr="001C47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FFFFFF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1 black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34.27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7.716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211</w:t>
            </w:r>
          </w:p>
        </w:tc>
      </w:tr>
      <w:tr w:rsidR="001C47D4" w:rsidRPr="001C47D4" w:rsidTr="001C47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FFFFFF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 xml:space="preserve">2 </w:t>
            </w:r>
            <w:proofErr w:type="spellStart"/>
            <w:r w:rsidRPr="001C47D4">
              <w:rPr>
                <w:rFonts w:cstheme="minorHAnsi"/>
                <w:color w:val="000000"/>
                <w:sz w:val="20"/>
                <w:szCs w:val="20"/>
              </w:rPr>
              <w:t>hispanic</w:t>
            </w:r>
            <w:proofErr w:type="spellEnd"/>
            <w:r w:rsidRPr="001C47D4">
              <w:rPr>
                <w:rFonts w:cstheme="minorHAnsi"/>
                <w:color w:val="000000"/>
                <w:sz w:val="20"/>
                <w:szCs w:val="20"/>
              </w:rPr>
              <w:t>/other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35.74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6.914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76</w:t>
            </w:r>
          </w:p>
        </w:tc>
      </w:tr>
      <w:tr w:rsidR="001C47D4" w:rsidRPr="001C47D4" w:rsidTr="001C47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FFFFFF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4 white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37.58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6.039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166</w:t>
            </w:r>
          </w:p>
        </w:tc>
      </w:tr>
      <w:tr w:rsidR="001C47D4" w:rsidRPr="001C47D4" w:rsidTr="001C47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FFFFFF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35.73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7.152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453</w:t>
            </w:r>
          </w:p>
        </w:tc>
      </w:tr>
    </w:tbl>
    <w:p w:rsidR="001C47D4" w:rsidRPr="001C47D4" w:rsidRDefault="001C47D4" w:rsidP="001C47D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0"/>
        <w:gridCol w:w="2024"/>
        <w:gridCol w:w="435"/>
        <w:gridCol w:w="1214"/>
        <w:gridCol w:w="891"/>
        <w:gridCol w:w="485"/>
        <w:gridCol w:w="1677"/>
      </w:tblGrid>
      <w:tr w:rsidR="001C47D4" w:rsidRPr="001C47D4" w:rsidTr="001C47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7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Tests of Between-Subjects Effects</w:t>
            </w:r>
          </w:p>
        </w:tc>
      </w:tr>
      <w:tr w:rsidR="001C47D4" w:rsidRPr="001C47D4" w:rsidTr="001C47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7"/>
            <w:shd w:val="clear" w:color="auto" w:fill="FFFFFF"/>
            <w:vAlign w:val="bottom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Dependent Variable:   </w:t>
            </w:r>
            <w:proofErr w:type="spellStart"/>
            <w:r w:rsidRPr="001C47D4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indtot</w:t>
            </w:r>
            <w:proofErr w:type="spellEnd"/>
            <w:r w:rsidRPr="001C47D4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Inventory of Drug Use Consequences (</w:t>
            </w:r>
            <w:proofErr w:type="spellStart"/>
            <w:r w:rsidRPr="001C47D4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InDue</w:t>
            </w:r>
            <w:proofErr w:type="spellEnd"/>
            <w:r w:rsidRPr="001C47D4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) total score - Baseline  </w:t>
            </w:r>
          </w:p>
        </w:tc>
      </w:tr>
      <w:tr w:rsidR="001C47D4" w:rsidRPr="001C47D4" w:rsidTr="001C47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FFFFFF"/>
            <w:vAlign w:val="bottom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Type III Sum of Squares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 w:rsidRPr="001C47D4">
              <w:rPr>
                <w:rFonts w:cstheme="minorHAnsi"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Mean Square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Sig.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Partial Eta Squared</w:t>
            </w:r>
          </w:p>
        </w:tc>
      </w:tr>
      <w:tr w:rsidR="001C47D4" w:rsidRPr="001C47D4" w:rsidTr="001C47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FFFFFF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Corrected Model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1016.782</w:t>
            </w:r>
            <w:r w:rsidRPr="001C47D4"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508.391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10.350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.044</w:t>
            </w:r>
          </w:p>
        </w:tc>
      </w:tr>
      <w:tr w:rsidR="001C47D4" w:rsidRPr="001C47D4" w:rsidTr="001C47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FFFFFF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483860.948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483860.948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9850.224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.956</w:t>
            </w:r>
          </w:p>
        </w:tc>
      </w:tr>
      <w:tr w:rsidR="001C47D4" w:rsidRPr="001C47D4" w:rsidTr="001C47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FFFFFF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race3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1016.782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508.391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10.350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.044</w:t>
            </w:r>
          </w:p>
        </w:tc>
      </w:tr>
      <w:tr w:rsidR="001C47D4" w:rsidRPr="001C47D4" w:rsidTr="001C47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FFFFFF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22104.821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49.122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  <w:tr w:rsidR="001C47D4" w:rsidRPr="001C47D4" w:rsidTr="001C47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FFFFFF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601387.000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453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  <w:tr w:rsidR="001C47D4" w:rsidRPr="001C47D4" w:rsidTr="001C47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FFFFFF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Corrected Total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23121.603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452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  <w:tr w:rsidR="001C47D4" w:rsidRPr="001C47D4" w:rsidTr="001C47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7"/>
            <w:shd w:val="clear" w:color="auto" w:fill="FFFFFF"/>
          </w:tcPr>
          <w:p w:rsidR="001C47D4" w:rsidRPr="001C47D4" w:rsidRDefault="001C47D4" w:rsidP="001C47D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1C47D4">
              <w:rPr>
                <w:rFonts w:cstheme="minorHAnsi"/>
                <w:color w:val="000000"/>
                <w:sz w:val="20"/>
                <w:szCs w:val="20"/>
              </w:rPr>
              <w:t>a. R Squared = .044 (Adjusted R Squared = .040)</w:t>
            </w:r>
          </w:p>
        </w:tc>
      </w:tr>
    </w:tbl>
    <w:p w:rsidR="001C47D4" w:rsidRPr="001C47D4" w:rsidRDefault="001C47D4" w:rsidP="001C47D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E02185" w:rsidRPr="00096CE0" w:rsidRDefault="00096CE0">
      <w:pPr>
        <w:rPr>
          <w:b/>
          <w:u w:val="single"/>
        </w:rPr>
      </w:pPr>
      <w:r w:rsidRPr="00096CE0">
        <w:rPr>
          <w:b/>
          <w:u w:val="single"/>
        </w:rPr>
        <w:t xml:space="preserve">POST HOC – Using </w:t>
      </w:r>
      <w:proofErr w:type="spellStart"/>
      <w:r w:rsidRPr="00096CE0">
        <w:rPr>
          <w:b/>
          <w:u w:val="single"/>
        </w:rPr>
        <w:t>Sidak</w:t>
      </w:r>
      <w:proofErr w:type="spellEnd"/>
      <w:r w:rsidRPr="00096CE0">
        <w:rPr>
          <w:b/>
          <w:u w:val="single"/>
        </w:rPr>
        <w:t xml:space="preserve"> multiple pairwise comparison tests (you may have used a different adjustment)</w:t>
      </w:r>
    </w:p>
    <w:p w:rsidR="00096CE0" w:rsidRDefault="00096CE0" w:rsidP="00096C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096CE0" w:rsidRDefault="00096CE0" w:rsidP="00096C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significant difference in races was between Blacks and Whites (p&lt;.001). No significant differences were seen between </w:t>
      </w:r>
      <w:proofErr w:type="gramStart"/>
      <w:r>
        <w:rPr>
          <w:rFonts w:cstheme="minorHAnsi"/>
          <w:sz w:val="20"/>
          <w:szCs w:val="20"/>
        </w:rPr>
        <w:t>Hispanic/Other</w:t>
      </w:r>
      <w:proofErr w:type="gramEnd"/>
      <w:r>
        <w:rPr>
          <w:rFonts w:cstheme="minorHAnsi"/>
          <w:sz w:val="20"/>
          <w:szCs w:val="20"/>
        </w:rPr>
        <w:t xml:space="preserve"> and Whites nor between Blacks and Hispanic/Other.</w:t>
      </w:r>
    </w:p>
    <w:p w:rsidR="00096CE0" w:rsidRPr="00096CE0" w:rsidRDefault="00096CE0" w:rsidP="00096C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7"/>
        <w:gridCol w:w="1477"/>
        <w:gridCol w:w="1341"/>
        <w:gridCol w:w="553"/>
        <w:gridCol w:w="495"/>
        <w:gridCol w:w="1217"/>
        <w:gridCol w:w="1233"/>
      </w:tblGrid>
      <w:tr w:rsidR="00096CE0" w:rsidRPr="00096CE0" w:rsidTr="00096C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Multiple Comparisons</w:t>
            </w:r>
          </w:p>
        </w:tc>
      </w:tr>
      <w:tr w:rsidR="00096CE0" w:rsidRPr="00096CE0" w:rsidTr="00096C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Dependent Variable:   </w:t>
            </w:r>
            <w:proofErr w:type="spellStart"/>
            <w:r w:rsidRPr="00096CE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indtot</w:t>
            </w:r>
            <w:proofErr w:type="spellEnd"/>
            <w:r w:rsidRPr="00096CE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Inventory of Drug Use Consequences (</w:t>
            </w:r>
            <w:proofErr w:type="spellStart"/>
            <w:r w:rsidRPr="00096CE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InDue</w:t>
            </w:r>
            <w:proofErr w:type="spellEnd"/>
            <w:r w:rsidRPr="00096CE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) total score - Baseline  </w:t>
            </w:r>
          </w:p>
        </w:tc>
      </w:tr>
      <w:tr w:rsidR="00096CE0" w:rsidRPr="00096CE0" w:rsidTr="00096C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proofErr w:type="spellStart"/>
            <w:r w:rsidRPr="00096CE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Sidak</w:t>
            </w:r>
            <w:proofErr w:type="spellEnd"/>
            <w:r w:rsidRPr="00096CE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</w:tr>
      <w:tr w:rsidR="00096CE0" w:rsidRPr="00096CE0" w:rsidTr="00096C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(I) race3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(J) race3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 xml:space="preserve">Mean </w:t>
            </w:r>
          </w:p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Difference (I-J)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 xml:space="preserve">Std. </w:t>
            </w:r>
          </w:p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95% Confidence Interval</w:t>
            </w:r>
          </w:p>
        </w:tc>
      </w:tr>
      <w:tr w:rsidR="00096CE0" w:rsidRPr="00096CE0" w:rsidTr="00096C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Lower Bound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Upper Bound</w:t>
            </w:r>
          </w:p>
        </w:tc>
      </w:tr>
      <w:tr w:rsidR="00096CE0" w:rsidRPr="00096CE0" w:rsidTr="00096C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1 black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 xml:space="preserve">2 </w:t>
            </w:r>
            <w:proofErr w:type="spellStart"/>
            <w:r w:rsidRPr="00096CE0">
              <w:rPr>
                <w:rFonts w:cstheme="minorHAnsi"/>
                <w:color w:val="000000"/>
                <w:sz w:val="20"/>
                <w:szCs w:val="20"/>
              </w:rPr>
              <w:t>hispanic</w:t>
            </w:r>
            <w:proofErr w:type="spellEnd"/>
            <w:r w:rsidRPr="00096CE0">
              <w:rPr>
                <w:rFonts w:cstheme="minorHAnsi"/>
                <w:color w:val="000000"/>
                <w:sz w:val="20"/>
                <w:szCs w:val="20"/>
              </w:rPr>
              <w:t>/other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-1.47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.938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.315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-3.71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.78</w:t>
            </w:r>
          </w:p>
        </w:tc>
      </w:tr>
      <w:tr w:rsidR="00096CE0" w:rsidRPr="00096CE0" w:rsidTr="00096C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4 white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-3.31</w:t>
            </w:r>
            <w:r w:rsidRPr="00096CE0"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.727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-5.05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-1.57</w:t>
            </w:r>
          </w:p>
        </w:tc>
      </w:tr>
      <w:tr w:rsidR="00096CE0" w:rsidRPr="00096CE0" w:rsidTr="00096C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 xml:space="preserve">2 </w:t>
            </w:r>
            <w:proofErr w:type="spellStart"/>
            <w:r w:rsidRPr="00096CE0">
              <w:rPr>
                <w:rFonts w:cstheme="minorHAnsi"/>
                <w:color w:val="000000"/>
                <w:sz w:val="20"/>
                <w:szCs w:val="20"/>
              </w:rPr>
              <w:t>hispanic</w:t>
            </w:r>
            <w:proofErr w:type="spellEnd"/>
            <w:r w:rsidRPr="00096CE0">
              <w:rPr>
                <w:rFonts w:cstheme="minorHAnsi"/>
                <w:color w:val="000000"/>
                <w:sz w:val="20"/>
                <w:szCs w:val="20"/>
              </w:rPr>
              <w:t>/other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1 black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.938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.315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-.78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3.71</w:t>
            </w:r>
          </w:p>
        </w:tc>
      </w:tr>
      <w:tr w:rsidR="00096CE0" w:rsidRPr="00096CE0" w:rsidTr="00096C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4 white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-1.84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.971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.165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-4.17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.48</w:t>
            </w:r>
          </w:p>
        </w:tc>
      </w:tr>
      <w:tr w:rsidR="00096CE0" w:rsidRPr="00096CE0" w:rsidTr="00096C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4 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1 black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3.31</w:t>
            </w:r>
            <w:r w:rsidRPr="00096CE0"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.727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5.05</w:t>
            </w:r>
          </w:p>
        </w:tc>
      </w:tr>
      <w:tr w:rsidR="00096CE0" w:rsidRPr="00096CE0" w:rsidTr="00096C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 xml:space="preserve">2 </w:t>
            </w:r>
            <w:proofErr w:type="spellStart"/>
            <w:r w:rsidRPr="00096CE0">
              <w:rPr>
                <w:rFonts w:cstheme="minorHAnsi"/>
                <w:color w:val="000000"/>
                <w:sz w:val="20"/>
                <w:szCs w:val="20"/>
              </w:rPr>
              <w:t>hispanic</w:t>
            </w:r>
            <w:proofErr w:type="spellEnd"/>
            <w:r w:rsidRPr="00096CE0">
              <w:rPr>
                <w:rFonts w:cstheme="minorHAnsi"/>
                <w:color w:val="000000"/>
                <w:sz w:val="20"/>
                <w:szCs w:val="20"/>
              </w:rPr>
              <w:t>/other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.971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.165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-.48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4.17</w:t>
            </w:r>
          </w:p>
        </w:tc>
      </w:tr>
      <w:tr w:rsidR="00096CE0" w:rsidRPr="00096CE0" w:rsidTr="00096C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Based on observed means.</w:t>
            </w:r>
          </w:p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 xml:space="preserve"> The error term is Mean </w:t>
            </w:r>
            <w:proofErr w:type="gramStart"/>
            <w:r w:rsidRPr="00096CE0">
              <w:rPr>
                <w:rFonts w:cstheme="minorHAnsi"/>
                <w:color w:val="000000"/>
                <w:sz w:val="20"/>
                <w:szCs w:val="20"/>
              </w:rPr>
              <w:t>Square(</w:t>
            </w:r>
            <w:proofErr w:type="gramEnd"/>
            <w:r w:rsidRPr="00096CE0">
              <w:rPr>
                <w:rFonts w:cstheme="minorHAnsi"/>
                <w:color w:val="000000"/>
                <w:sz w:val="20"/>
                <w:szCs w:val="20"/>
              </w:rPr>
              <w:t>Error) = 49.122.</w:t>
            </w:r>
          </w:p>
        </w:tc>
      </w:tr>
      <w:tr w:rsidR="00096CE0" w:rsidRPr="00096CE0" w:rsidTr="00096C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6CE0" w:rsidRPr="00096CE0" w:rsidRDefault="00096CE0" w:rsidP="00096CE0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096CE0">
              <w:rPr>
                <w:rFonts w:cstheme="minorHAnsi"/>
                <w:color w:val="000000"/>
                <w:sz w:val="20"/>
                <w:szCs w:val="20"/>
              </w:rPr>
              <w:t>*. The mean difference is significant at the .05 level.</w:t>
            </w:r>
          </w:p>
        </w:tc>
      </w:tr>
    </w:tbl>
    <w:p w:rsidR="00096CE0" w:rsidRPr="00096CE0" w:rsidRDefault="00096CE0" w:rsidP="00096C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E02185" w:rsidRPr="00096CE0" w:rsidRDefault="00096CE0">
      <w:pPr>
        <w:rPr>
          <w:b/>
          <w:u w:val="single"/>
        </w:rPr>
      </w:pPr>
      <w:r w:rsidRPr="00096CE0">
        <w:rPr>
          <w:b/>
          <w:u w:val="single"/>
        </w:rPr>
        <w:lastRenderedPageBreak/>
        <w:t xml:space="preserve">Figure: </w:t>
      </w:r>
      <w:proofErr w:type="spellStart"/>
      <w:r w:rsidRPr="00096CE0">
        <w:rPr>
          <w:b/>
          <w:u w:val="single"/>
        </w:rPr>
        <w:t>Errorbar</w:t>
      </w:r>
      <w:proofErr w:type="spellEnd"/>
      <w:r w:rsidRPr="00096CE0">
        <w:rPr>
          <w:b/>
          <w:u w:val="single"/>
        </w:rPr>
        <w:t xml:space="preserve"> plot of INDTOT Means and 95% Confidence Intervals </w:t>
      </w:r>
      <w:proofErr w:type="gramStart"/>
      <w:r w:rsidRPr="00096CE0">
        <w:rPr>
          <w:b/>
          <w:u w:val="single"/>
        </w:rPr>
        <w:t>By</w:t>
      </w:r>
      <w:proofErr w:type="gramEnd"/>
      <w:r w:rsidRPr="00096CE0">
        <w:rPr>
          <w:b/>
          <w:u w:val="single"/>
        </w:rPr>
        <w:t xml:space="preserve"> Race</w:t>
      </w:r>
    </w:p>
    <w:p w:rsidR="00096CE0" w:rsidRDefault="00096CE0"/>
    <w:p w:rsidR="00096CE0" w:rsidRDefault="00096CE0" w:rsidP="00096CE0">
      <w:pPr>
        <w:jc w:val="center"/>
      </w:pPr>
      <w:r w:rsidRPr="00096CE0">
        <w:drawing>
          <wp:inline distT="0" distB="0" distL="0" distR="0">
            <wp:extent cx="4996308" cy="38312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8472" b="50589"/>
                    <a:stretch/>
                  </pic:blipFill>
                  <pic:spPr bwMode="auto">
                    <a:xfrm>
                      <a:off x="0" y="0"/>
                      <a:ext cx="5001883" cy="383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CE0" w:rsidRDefault="00096CE0"/>
    <w:sectPr w:rsidR="00096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146DD"/>
    <w:multiLevelType w:val="multilevel"/>
    <w:tmpl w:val="83549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16DD7"/>
    <w:multiLevelType w:val="multilevel"/>
    <w:tmpl w:val="4412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B5"/>
    <w:rsid w:val="00096CE0"/>
    <w:rsid w:val="000C7E43"/>
    <w:rsid w:val="001C47D4"/>
    <w:rsid w:val="003331AD"/>
    <w:rsid w:val="004007AE"/>
    <w:rsid w:val="004E16B5"/>
    <w:rsid w:val="005C00E3"/>
    <w:rsid w:val="007B5F13"/>
    <w:rsid w:val="00807001"/>
    <w:rsid w:val="008E7647"/>
    <w:rsid w:val="00B60189"/>
    <w:rsid w:val="00CE68E5"/>
    <w:rsid w:val="00E0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389E9-A69C-47EC-A69F-A2F84961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16B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16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E16B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16B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E16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16B5"/>
    <w:rPr>
      <w:b/>
      <w:bCs/>
    </w:rPr>
  </w:style>
  <w:style w:type="character" w:styleId="Emphasis">
    <w:name w:val="Emphasis"/>
    <w:basedOn w:val="DefaultParagraphFont"/>
    <w:uiPriority w:val="20"/>
    <w:qFormat/>
    <w:rsid w:val="004E16B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F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F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7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lindahiggins2000/N736Fall2017_HELPdataset" TargetMode="External"/><Relationship Id="rId11" Type="http://schemas.openxmlformats.org/officeDocument/2006/relationships/image" Target="media/image5.emf"/><Relationship Id="rId5" Type="http://schemas.openxmlformats.org/officeDocument/2006/relationships/hyperlink" Target="https://melindahiggins2000.github.io/N736Fall2017_HELPdataset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7291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Melinda K</dc:creator>
  <cp:keywords/>
  <dc:description/>
  <cp:lastModifiedBy>Higgins, Melinda K</cp:lastModifiedBy>
  <cp:revision>3</cp:revision>
  <cp:lastPrinted>2017-11-12T21:28:00Z</cp:lastPrinted>
  <dcterms:created xsi:type="dcterms:W3CDTF">2017-11-12T19:42:00Z</dcterms:created>
  <dcterms:modified xsi:type="dcterms:W3CDTF">2017-11-12T21:28:00Z</dcterms:modified>
</cp:coreProperties>
</file>