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</w:rPr>
        <w:drawing>
          <wp:inline distB="114300" distT="114300" distL="114300" distR="114300">
            <wp:extent cx="20193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before="40" w:line="360" w:lineRule="auto"/>
        <w:ind w:left="-520" w:right="80" w:hanging="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Metodologías Ágiles - 5K1 - 2020</w:t>
      </w:r>
    </w:p>
    <w:p w:rsidR="00000000" w:rsidDel="00000000" w:rsidP="00000000" w:rsidRDefault="00000000" w:rsidRPr="00000000" w14:paraId="00000007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Equipo Lambda</w:t>
      </w:r>
    </w:p>
    <w:p w:rsidR="00000000" w:rsidDel="00000000" w:rsidP="00000000" w:rsidRDefault="00000000" w:rsidRPr="00000000" w14:paraId="00000008">
      <w:pPr>
        <w:spacing w:before="40" w:line="360" w:lineRule="auto"/>
        <w:ind w:right="-40" w:firstLine="720"/>
        <w:jc w:val="center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Sprint tres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Carranza Exequiel</w:t>
        <w:tab/>
        <w:t xml:space="preserve">   60848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Cruz, Karen Yanina      61539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Ricagno, Carolina</w:t>
        <w:tab/>
        <w:t xml:space="preserve">   70374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Velasco, Melisa Paola  58496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Tagliaferri, Stefano </w:t>
        <w:tab/>
        <w:t xml:space="preserve">    62890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Objetivo del sprint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El objetivo del tercer sprint es realizar la funcionalidad de registro de pedidos de pasantías de alumnos a las pasantías publicadas, y también generar la funcionalidad destinada a un usuario administrador del sistema que permita la gestión de esos pedidos de pasantías, incluyendo cancelación y aceptación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 encuentra remarcado con amarillo las user stories a trabajar durante este sprint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6060"/>
        <w:tblGridChange w:id="0">
          <w:tblGrid>
            <w:gridCol w:w="1395"/>
            <w:gridCol w:w="1560"/>
            <w:gridCol w:w="6060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Sprint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Nro User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Título</w:t>
            </w:r>
          </w:p>
        </w:tc>
      </w:tr>
      <w:tr>
        <w:trPr>
          <w:trHeight w:val="400" w:hRule="atLeast"/>
        </w:trPr>
        <w:tc>
          <w:tcPr>
            <w:vMerge w:val="restart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Inscribir a pedido de pasantías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pedido pasantía</w:t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Aceptar pedido pasante</w:t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Cancelar pedido pasantías</w:t>
            </w:r>
          </w:p>
        </w:tc>
      </w:tr>
      <w:tr>
        <w:trPr>
          <w:trHeight w:val="400" w:hRule="atLeast"/>
        </w:trPr>
        <w:tc>
          <w:tcPr>
            <w:vMerge w:val="continue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aceptación de alumno para pasantías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pedido de pasantías del alumno para entrevista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pasantías activas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pedido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solicitudes de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aceptar solicitud de pasantias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Cancelar solicitudes de pasantías de empresas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alumno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alumnos inscriptos a entrevista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Ver alumnos seleccionados para pasantia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Registrar plan de pasantías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Generar convenio particular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Aceptar pasante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18"/>
                <w:szCs w:val="18"/>
                <w:rtl w:val="0"/>
              </w:rPr>
              <w:t xml:space="preserve">Filtrar pasante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="360" w:lineRule="auto"/>
        <w:ind w:left="0"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0"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Planificación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Capacidad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 el siguiente gráfico se muestran las horas que cada uno se compromete a trabajar por día en el transcurso del sprint. El sprint dura dos semanas, de lunes a viernes.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La capacidad total del equipo en el sprint dos, es de 100 horas, que corresponde a 2 horas de trabajo por día por cada miembro del equipo.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</w:rPr>
        <w:drawing>
          <wp:inline distB="114300" distT="114300" distL="114300" distR="114300">
            <wp:extent cx="57312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Estimación del Sprint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12.71255060728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.7125506072875"/>
        <w:gridCol w:w="4425"/>
        <w:gridCol w:w="2025"/>
        <w:tblGridChange w:id="0">
          <w:tblGrid>
            <w:gridCol w:w="962.7125506072875"/>
            <w:gridCol w:w="4425"/>
            <w:gridCol w:w="2025"/>
          </w:tblGrid>
        </w:tblGridChange>
      </w:tblGrid>
      <w:tr>
        <w:trPr>
          <w:trHeight w:val="450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Orden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Estimación (hs)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Inscribir a pedido de pasantías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 pedido pasantía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Aceptar pedido pasante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Cancelar pedido pasantías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Desplegar la aplicación en algun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Soporte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5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 pasantías activas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 continuación, especificamos el registro de los resultados a partir de lo realizado en el sprint 3.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Retrospectiva del Sprint 3</w:t>
      </w: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6750"/>
        <w:gridCol w:w="2025"/>
        <w:tblGridChange w:id="0">
          <w:tblGrid>
            <w:gridCol w:w="2145"/>
            <w:gridCol w:w="6750"/>
            <w:gridCol w:w="2025"/>
          </w:tblGrid>
        </w:tblGridChange>
      </w:tblGrid>
      <w:tr>
        <w:trPr>
          <w:trHeight w:val="885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Lo bueno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 funcionalidad está correcta con lo planificado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respeta la lógica del negocio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cumplio con parte del objetivo planteado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pudo completar el despliegue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Hubo mayor comunicación con el PO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Lo malo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 se documento el testing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¿Qué hicimos bien?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Hubo buena organización del equipo en cuanto en roles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Realizamos un buen manejo de los repositorios.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pudo investigar la integración continua.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realizaron múltiples reuniones del equipo para solucionar problemas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 mejoró el uso de la herramienta de gestión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¿Qué hicimos mal?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 se realizó documentación de código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¿Qué podemos mejorar?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Manejar un criterio de versión de release.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Realizar más testing y documentarlo.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ind w:left="144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144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ind w:firstLine="720"/>
        <w:jc w:val="left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Métricas del Sprint 3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025"/>
        <w:tblGridChange w:id="0">
          <w:tblGrid>
            <w:gridCol w:w="2145"/>
            <w:gridCol w:w="5775"/>
            <w:gridCol w:w="2025"/>
          </w:tblGrid>
        </w:tblGridChange>
      </w:tblGrid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Velocidad 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Base de medición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Story point. Debe ser mayor a 0.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Fórmula del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Σ  cantidad</w:t>
            </w: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 de story points realizadas por cada miembro del equipo de proyecto por sprint.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025"/>
        <w:tblGridChange w:id="0">
          <w:tblGrid>
            <w:gridCol w:w="2145"/>
            <w:gridCol w:w="5775"/>
            <w:gridCol w:w="2025"/>
          </w:tblGrid>
        </w:tblGridChange>
      </w:tblGrid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Capacidad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Base de medición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Horas/hombre. Debe ser mayor a 0.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Fórmula del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Σ cantidad de hs/hombre utilizadas por cada miembro del equipo de proyecto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144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775"/>
        <w:gridCol w:w="2025"/>
        <w:tblGridChange w:id="0">
          <w:tblGrid>
            <w:gridCol w:w="2145"/>
            <w:gridCol w:w="5775"/>
            <w:gridCol w:w="2025"/>
          </w:tblGrid>
        </w:tblGridChange>
      </w:tblGrid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Burn Down Chart (trabajo pendiente)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Razón para usarla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Conocer los días que faltan para completar los requisitos del proyecto.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Nivel de audiencia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¿Quién la toma? Herramienta Azure DevOps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¿Quién la usa? Líder de equipo, Equipo de proyecto</w:t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Fórmula del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Proyección por Sprint.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99609" cy="2928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4638" l="15946" r="16279" t="12094"/>
                    <a:stretch>
                      <a:fillRect/>
                    </a:stretch>
                  </pic:blipFill>
                  <pic:spPr>
                    <a:xfrm>
                      <a:off x="0" y="0"/>
                      <a:ext cx="4799609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