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75613" w14:textId="2468359E" w:rsidR="00855DB0" w:rsidRPr="00855DB0" w:rsidRDefault="00855DB0" w:rsidP="00855DB0">
      <w:pPr>
        <w:rPr>
          <w:sz w:val="18"/>
          <w:szCs w:val="18"/>
        </w:rPr>
      </w:pPr>
      <w:bookmarkStart w:id="0" w:name="_GoBack"/>
      <w:bookmarkEnd w:id="0"/>
      <w:r w:rsidRPr="001F6122">
        <w:rPr>
          <w:b/>
          <w:bCs/>
          <w:sz w:val="18"/>
          <w:szCs w:val="18"/>
        </w:rPr>
        <w:t>AREA OF NEED SCORE</w:t>
      </w:r>
      <w:r w:rsidRPr="00855DB0">
        <w:rPr>
          <w:sz w:val="18"/>
          <w:szCs w:val="18"/>
        </w:rPr>
        <w:t xml:space="preserve"> - also called the Priority Population Score (1 to 5) is a combined weighted score measuring five population characteristics as identified in the Metro Transit Mobility Framework</w:t>
      </w:r>
      <w:r w:rsidR="0079281C">
        <w:rPr>
          <w:sz w:val="18"/>
          <w:szCs w:val="18"/>
        </w:rPr>
        <w:t xml:space="preserve">. </w:t>
      </w:r>
      <w:r w:rsidRPr="00855DB0">
        <w:rPr>
          <w:sz w:val="18"/>
          <w:szCs w:val="18"/>
        </w:rPr>
        <w:t>For each Census Block Group in King County these 5 characteristics are measured and ranked 1 to 5 by quintiles.  The quintiles represent the total number of persons within each Census Block Group, within each category.  Each score is then combined using a weighting methodology (see below) for a final score of 1 (low need) to 5 (high need).</w:t>
      </w:r>
    </w:p>
    <w:p w14:paraId="6ED0DAFF" w14:textId="7633AFCF" w:rsidR="00855DB0" w:rsidRPr="0079281C" w:rsidRDefault="00855DB0" w:rsidP="00855DB0">
      <w:pPr>
        <w:rPr>
          <w:b/>
          <w:bCs/>
          <w:sz w:val="18"/>
          <w:szCs w:val="18"/>
        </w:rPr>
      </w:pPr>
      <w:r w:rsidRPr="0079281C">
        <w:rPr>
          <w:b/>
          <w:bCs/>
          <w:sz w:val="18"/>
          <w:szCs w:val="18"/>
        </w:rPr>
        <w:t xml:space="preserve">      Weightin</w:t>
      </w:r>
      <w:r w:rsidR="0079281C">
        <w:rPr>
          <w:b/>
          <w:bCs/>
          <w:sz w:val="18"/>
          <w:szCs w:val="18"/>
        </w:rPr>
        <w:t>g</w:t>
      </w:r>
    </w:p>
    <w:p w14:paraId="5D6E4C37" w14:textId="77777777" w:rsidR="00855DB0" w:rsidRPr="00855DB0" w:rsidRDefault="00855DB0" w:rsidP="00855DB0">
      <w:pPr>
        <w:rPr>
          <w:sz w:val="18"/>
          <w:szCs w:val="18"/>
        </w:rPr>
      </w:pPr>
      <w:r w:rsidRPr="00855DB0">
        <w:rPr>
          <w:sz w:val="18"/>
          <w:szCs w:val="18"/>
        </w:rPr>
        <w:t xml:space="preserve">          1 - Persons of Color - 40 % of score</w:t>
      </w:r>
    </w:p>
    <w:p w14:paraId="6B6EC341" w14:textId="77777777" w:rsidR="00855DB0" w:rsidRPr="00855DB0" w:rsidRDefault="00855DB0" w:rsidP="00855DB0">
      <w:pPr>
        <w:rPr>
          <w:sz w:val="18"/>
          <w:szCs w:val="18"/>
        </w:rPr>
      </w:pPr>
      <w:r w:rsidRPr="00855DB0">
        <w:rPr>
          <w:sz w:val="18"/>
          <w:szCs w:val="18"/>
        </w:rPr>
        <w:t xml:space="preserve">          2 - Poverty - 30% of Score</w:t>
      </w:r>
    </w:p>
    <w:p w14:paraId="13457653" w14:textId="77777777" w:rsidR="00855DB0" w:rsidRPr="00855DB0" w:rsidRDefault="00855DB0" w:rsidP="00855DB0">
      <w:pPr>
        <w:rPr>
          <w:sz w:val="18"/>
          <w:szCs w:val="18"/>
        </w:rPr>
      </w:pPr>
      <w:r w:rsidRPr="00855DB0">
        <w:rPr>
          <w:sz w:val="18"/>
          <w:szCs w:val="18"/>
        </w:rPr>
        <w:t xml:space="preserve">          3 - Limited English Proficiency - 10% of score</w:t>
      </w:r>
    </w:p>
    <w:p w14:paraId="6AD8FC3B" w14:textId="77777777" w:rsidR="00855DB0" w:rsidRPr="00855DB0" w:rsidRDefault="00855DB0" w:rsidP="00855DB0">
      <w:pPr>
        <w:rPr>
          <w:sz w:val="18"/>
          <w:szCs w:val="18"/>
        </w:rPr>
      </w:pPr>
      <w:r w:rsidRPr="00855DB0">
        <w:rPr>
          <w:sz w:val="18"/>
          <w:szCs w:val="18"/>
        </w:rPr>
        <w:t xml:space="preserve">          4 - Disabled population - 10% of score</w:t>
      </w:r>
    </w:p>
    <w:p w14:paraId="21515879" w14:textId="77777777" w:rsidR="00855DB0" w:rsidRPr="00855DB0" w:rsidRDefault="00855DB0" w:rsidP="00855DB0">
      <w:pPr>
        <w:rPr>
          <w:sz w:val="18"/>
          <w:szCs w:val="18"/>
        </w:rPr>
      </w:pPr>
      <w:r w:rsidRPr="00855DB0">
        <w:rPr>
          <w:sz w:val="18"/>
          <w:szCs w:val="18"/>
        </w:rPr>
        <w:t xml:space="preserve">          5 - Foreign Born Population - 10% of score</w:t>
      </w:r>
    </w:p>
    <w:p w14:paraId="4D7F4BAB" w14:textId="5309FE40" w:rsidR="00855DB0" w:rsidRPr="0029553D" w:rsidRDefault="00855DB0" w:rsidP="0029553D">
      <w:pPr>
        <w:rPr>
          <w:i/>
          <w:iCs/>
          <w:sz w:val="18"/>
          <w:szCs w:val="18"/>
        </w:rPr>
      </w:pPr>
      <w:r w:rsidRPr="0079281C">
        <w:rPr>
          <w:i/>
          <w:iCs/>
          <w:sz w:val="18"/>
          <w:szCs w:val="18"/>
        </w:rPr>
        <w:t xml:space="preserve"> The higher the score, the greater the intensity of these factors within a Census Block Group. Census Block Groups with a score of 5 = the highest areas of need</w:t>
      </w:r>
      <w:r w:rsidR="0029553D">
        <w:rPr>
          <w:i/>
          <w:iCs/>
          <w:sz w:val="18"/>
          <w:szCs w:val="18"/>
        </w:rPr>
        <w:t xml:space="preserve">. </w:t>
      </w:r>
      <w:r w:rsidRPr="0079281C">
        <w:rPr>
          <w:i/>
          <w:iCs/>
          <w:sz w:val="18"/>
          <w:szCs w:val="18"/>
        </w:rPr>
        <w:t>Data from: 2014 - 2018 American Community Survey. (Census Bureau)</w:t>
      </w:r>
    </w:p>
    <w:p w14:paraId="03432556" w14:textId="15F75B89" w:rsidR="00BE4CFE" w:rsidRPr="00025B3B" w:rsidRDefault="00BE4CFE" w:rsidP="00BE4CFE">
      <w:pPr>
        <w:rPr>
          <w:i/>
          <w:iCs/>
          <w:sz w:val="18"/>
          <w:szCs w:val="18"/>
          <w:u w:val="single"/>
        </w:rPr>
      </w:pPr>
      <w:r w:rsidRPr="00025B3B">
        <w:rPr>
          <w:i/>
          <w:iCs/>
          <w:sz w:val="18"/>
          <w:szCs w:val="18"/>
          <w:u w:val="single"/>
        </w:rPr>
        <w:t>Creat</w:t>
      </w:r>
      <w:r w:rsidR="00025B3B">
        <w:rPr>
          <w:i/>
          <w:iCs/>
          <w:sz w:val="18"/>
          <w:szCs w:val="18"/>
          <w:u w:val="single"/>
        </w:rPr>
        <w:t>ing</w:t>
      </w:r>
      <w:r w:rsidRPr="00025B3B">
        <w:rPr>
          <w:i/>
          <w:iCs/>
          <w:sz w:val="18"/>
          <w:szCs w:val="18"/>
          <w:u w:val="single"/>
        </w:rPr>
        <w:t xml:space="preserve"> Equity Scores for Block Groups</w:t>
      </w:r>
    </w:p>
    <w:p w14:paraId="41FBFAD5" w14:textId="30C6B5CC" w:rsidR="00BE4CFE" w:rsidRPr="00025B3B" w:rsidRDefault="00BE4CFE" w:rsidP="00BE4CFE">
      <w:pPr>
        <w:numPr>
          <w:ilvl w:val="0"/>
          <w:numId w:val="2"/>
        </w:numPr>
        <w:spacing w:after="0" w:line="240" w:lineRule="auto"/>
        <w:rPr>
          <w:rFonts w:eastAsia="Times New Roman"/>
          <w:sz w:val="18"/>
          <w:szCs w:val="18"/>
        </w:rPr>
      </w:pPr>
      <w:r w:rsidRPr="00025B3B">
        <w:rPr>
          <w:rFonts w:eastAsia="Times New Roman"/>
          <w:sz w:val="18"/>
          <w:szCs w:val="18"/>
        </w:rPr>
        <w:t>Download block-group level ACS data for the variables defined in the table below:</w:t>
      </w:r>
    </w:p>
    <w:tbl>
      <w:tblPr>
        <w:tblW w:w="0" w:type="auto"/>
        <w:tblInd w:w="720" w:type="dxa"/>
        <w:tblCellMar>
          <w:left w:w="0" w:type="dxa"/>
          <w:right w:w="0" w:type="dxa"/>
        </w:tblCellMar>
        <w:tblLook w:val="04A0" w:firstRow="1" w:lastRow="0" w:firstColumn="1" w:lastColumn="0" w:noHBand="0" w:noVBand="1"/>
      </w:tblPr>
      <w:tblGrid>
        <w:gridCol w:w="4495"/>
        <w:gridCol w:w="3415"/>
      </w:tblGrid>
      <w:tr w:rsidR="00BE4CFE" w:rsidRPr="00025B3B" w14:paraId="4EF5B79D" w14:textId="77777777" w:rsidTr="00BE4CFE">
        <w:tc>
          <w:tcPr>
            <w:tcW w:w="4495" w:type="dxa"/>
            <w:tcBorders>
              <w:top w:val="single" w:sz="8" w:space="0" w:color="2F5496"/>
              <w:left w:val="single" w:sz="8" w:space="0" w:color="2F5496"/>
              <w:bottom w:val="single" w:sz="8" w:space="0" w:color="2F5496"/>
              <w:right w:val="single" w:sz="8" w:space="0" w:color="BFBFBF"/>
            </w:tcBorders>
            <w:tcMar>
              <w:top w:w="0" w:type="dxa"/>
              <w:left w:w="108" w:type="dxa"/>
              <w:bottom w:w="0" w:type="dxa"/>
              <w:right w:w="108" w:type="dxa"/>
            </w:tcMar>
            <w:hideMark/>
          </w:tcPr>
          <w:p w14:paraId="7AD285C2" w14:textId="77777777" w:rsidR="00BE4CFE" w:rsidRPr="00025B3B" w:rsidRDefault="00BE4CFE">
            <w:pPr>
              <w:rPr>
                <w:b/>
                <w:bCs/>
                <w:sz w:val="18"/>
                <w:szCs w:val="18"/>
              </w:rPr>
            </w:pPr>
            <w:r w:rsidRPr="00025B3B">
              <w:rPr>
                <w:b/>
                <w:bCs/>
                <w:sz w:val="18"/>
                <w:szCs w:val="18"/>
              </w:rPr>
              <w:t>Priority Population Metric</w:t>
            </w:r>
          </w:p>
        </w:tc>
        <w:tc>
          <w:tcPr>
            <w:tcW w:w="3415" w:type="dxa"/>
            <w:tcBorders>
              <w:top w:val="single" w:sz="8" w:space="0" w:color="2F5496"/>
              <w:left w:val="nil"/>
              <w:bottom w:val="single" w:sz="8" w:space="0" w:color="2F5496"/>
              <w:right w:val="single" w:sz="8" w:space="0" w:color="2F5496"/>
            </w:tcBorders>
            <w:tcMar>
              <w:top w:w="0" w:type="dxa"/>
              <w:left w:w="108" w:type="dxa"/>
              <w:bottom w:w="0" w:type="dxa"/>
              <w:right w:w="108" w:type="dxa"/>
            </w:tcMar>
            <w:hideMark/>
          </w:tcPr>
          <w:p w14:paraId="79626626" w14:textId="77777777" w:rsidR="00BE4CFE" w:rsidRPr="00025B3B" w:rsidRDefault="00BE4CFE">
            <w:pPr>
              <w:rPr>
                <w:b/>
                <w:bCs/>
                <w:sz w:val="18"/>
                <w:szCs w:val="18"/>
              </w:rPr>
            </w:pPr>
            <w:r w:rsidRPr="00025B3B">
              <w:rPr>
                <w:b/>
                <w:bCs/>
                <w:sz w:val="18"/>
                <w:szCs w:val="18"/>
              </w:rPr>
              <w:t>Census Variable Calculation</w:t>
            </w:r>
          </w:p>
        </w:tc>
      </w:tr>
      <w:tr w:rsidR="00BE4CFE" w:rsidRPr="00025B3B" w14:paraId="3584DED2"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4391ECF5" w14:textId="77777777" w:rsidR="00BE4CFE" w:rsidRPr="00025B3B" w:rsidRDefault="00BE4CFE">
            <w:pPr>
              <w:rPr>
                <w:b/>
                <w:bCs/>
                <w:sz w:val="18"/>
                <w:szCs w:val="18"/>
              </w:rPr>
            </w:pPr>
            <w:r w:rsidRPr="00025B3B">
              <w:rPr>
                <w:b/>
                <w:bCs/>
                <w:sz w:val="18"/>
                <w:szCs w:val="18"/>
              </w:rPr>
              <w:t>Population living 200% below the federal poverty line</w:t>
            </w:r>
          </w:p>
        </w:tc>
        <w:tc>
          <w:tcPr>
            <w:tcW w:w="3415" w:type="dxa"/>
            <w:tcBorders>
              <w:top w:val="nil"/>
              <w:left w:val="nil"/>
              <w:bottom w:val="single" w:sz="8" w:space="0" w:color="2F5496"/>
              <w:right w:val="single" w:sz="8" w:space="0" w:color="2F5496"/>
            </w:tcBorders>
            <w:tcMar>
              <w:top w:w="0" w:type="dxa"/>
              <w:left w:w="108" w:type="dxa"/>
              <w:bottom w:w="0" w:type="dxa"/>
              <w:right w:w="108" w:type="dxa"/>
            </w:tcMar>
            <w:hideMark/>
          </w:tcPr>
          <w:p w14:paraId="503C548F" w14:textId="77777777" w:rsidR="00BE4CFE" w:rsidRPr="00025B3B" w:rsidRDefault="00BE4CFE">
            <w:pPr>
              <w:rPr>
                <w:sz w:val="18"/>
                <w:szCs w:val="18"/>
              </w:rPr>
            </w:pPr>
            <w:r w:rsidRPr="00025B3B">
              <w:rPr>
                <w:sz w:val="18"/>
                <w:szCs w:val="18"/>
              </w:rPr>
              <w:t xml:space="preserve">C17002e1 - C17002e8    </w:t>
            </w:r>
          </w:p>
        </w:tc>
      </w:tr>
      <w:tr w:rsidR="00BE4CFE" w:rsidRPr="00025B3B" w14:paraId="56309A0C"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4564F535" w14:textId="77777777" w:rsidR="00BE4CFE" w:rsidRPr="00025B3B" w:rsidRDefault="00BE4CFE">
            <w:pPr>
              <w:rPr>
                <w:b/>
                <w:bCs/>
                <w:sz w:val="18"/>
                <w:szCs w:val="18"/>
              </w:rPr>
            </w:pPr>
            <w:r w:rsidRPr="00025B3B">
              <w:rPr>
                <w:b/>
                <w:bCs/>
                <w:sz w:val="18"/>
                <w:szCs w:val="18"/>
              </w:rPr>
              <w:t>Population that is foreign-born</w:t>
            </w:r>
          </w:p>
        </w:tc>
        <w:tc>
          <w:tcPr>
            <w:tcW w:w="3415" w:type="dxa"/>
            <w:tcBorders>
              <w:top w:val="nil"/>
              <w:left w:val="nil"/>
              <w:bottom w:val="single" w:sz="8" w:space="0" w:color="2F5496"/>
              <w:right w:val="single" w:sz="8" w:space="0" w:color="2F5496"/>
            </w:tcBorders>
            <w:tcMar>
              <w:top w:w="0" w:type="dxa"/>
              <w:left w:w="108" w:type="dxa"/>
              <w:bottom w:w="0" w:type="dxa"/>
              <w:right w:w="108" w:type="dxa"/>
            </w:tcMar>
            <w:hideMark/>
          </w:tcPr>
          <w:p w14:paraId="4D1FC0B4" w14:textId="77777777" w:rsidR="00BE4CFE" w:rsidRPr="00025B3B" w:rsidRDefault="00BE4CFE">
            <w:pPr>
              <w:rPr>
                <w:sz w:val="18"/>
                <w:szCs w:val="18"/>
              </w:rPr>
            </w:pPr>
            <w:r w:rsidRPr="00025B3B">
              <w:rPr>
                <w:sz w:val="18"/>
                <w:szCs w:val="18"/>
              </w:rPr>
              <w:t>B99051e5</w:t>
            </w:r>
          </w:p>
        </w:tc>
      </w:tr>
      <w:tr w:rsidR="00BE4CFE" w:rsidRPr="00025B3B" w14:paraId="41E7B634"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2192A457" w14:textId="77777777" w:rsidR="00BE4CFE" w:rsidRPr="00025B3B" w:rsidRDefault="00BE4CFE">
            <w:pPr>
              <w:rPr>
                <w:b/>
                <w:bCs/>
                <w:sz w:val="18"/>
                <w:szCs w:val="18"/>
              </w:rPr>
            </w:pPr>
            <w:r w:rsidRPr="00025B3B">
              <w:rPr>
                <w:b/>
                <w:bCs/>
                <w:sz w:val="18"/>
                <w:szCs w:val="18"/>
              </w:rPr>
              <w:t>Population that is non-white or Hispanic</w:t>
            </w:r>
          </w:p>
        </w:tc>
        <w:tc>
          <w:tcPr>
            <w:tcW w:w="3415" w:type="dxa"/>
            <w:tcBorders>
              <w:top w:val="nil"/>
              <w:left w:val="nil"/>
              <w:bottom w:val="single" w:sz="8" w:space="0" w:color="2F5496"/>
              <w:right w:val="single" w:sz="8" w:space="0" w:color="2F5496"/>
            </w:tcBorders>
            <w:tcMar>
              <w:top w:w="0" w:type="dxa"/>
              <w:left w:w="108" w:type="dxa"/>
              <w:bottom w:w="0" w:type="dxa"/>
              <w:right w:w="108" w:type="dxa"/>
            </w:tcMar>
            <w:hideMark/>
          </w:tcPr>
          <w:p w14:paraId="11B75940" w14:textId="77777777" w:rsidR="00BE4CFE" w:rsidRPr="00025B3B" w:rsidRDefault="00BE4CFE">
            <w:pPr>
              <w:rPr>
                <w:sz w:val="18"/>
                <w:szCs w:val="18"/>
              </w:rPr>
            </w:pPr>
            <w:r w:rsidRPr="00025B3B">
              <w:rPr>
                <w:sz w:val="18"/>
                <w:szCs w:val="18"/>
              </w:rPr>
              <w:t>B03002e1 - B03002e3</w:t>
            </w:r>
          </w:p>
        </w:tc>
      </w:tr>
      <w:tr w:rsidR="00BE4CFE" w:rsidRPr="00025B3B" w14:paraId="5038A723"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7145CD71" w14:textId="77777777" w:rsidR="00BE4CFE" w:rsidRPr="00025B3B" w:rsidRDefault="00BE4CFE">
            <w:pPr>
              <w:rPr>
                <w:b/>
                <w:bCs/>
                <w:sz w:val="18"/>
                <w:szCs w:val="18"/>
              </w:rPr>
            </w:pPr>
            <w:r w:rsidRPr="00025B3B">
              <w:rPr>
                <w:b/>
                <w:bCs/>
                <w:sz w:val="18"/>
                <w:szCs w:val="18"/>
              </w:rPr>
              <w:t>Limited-English speaking household</w:t>
            </w:r>
          </w:p>
        </w:tc>
        <w:tc>
          <w:tcPr>
            <w:tcW w:w="3415" w:type="dxa"/>
            <w:tcBorders>
              <w:top w:val="nil"/>
              <w:left w:val="nil"/>
              <w:bottom w:val="single" w:sz="8" w:space="0" w:color="2F5496"/>
              <w:right w:val="single" w:sz="8" w:space="0" w:color="2F5496"/>
            </w:tcBorders>
            <w:tcMar>
              <w:top w:w="0" w:type="dxa"/>
              <w:left w:w="108" w:type="dxa"/>
              <w:bottom w:w="0" w:type="dxa"/>
              <w:right w:w="108" w:type="dxa"/>
            </w:tcMar>
            <w:hideMark/>
          </w:tcPr>
          <w:p w14:paraId="1DE75F1D" w14:textId="77777777" w:rsidR="00BE4CFE" w:rsidRPr="00025B3B" w:rsidRDefault="00BE4CFE">
            <w:pPr>
              <w:rPr>
                <w:sz w:val="18"/>
                <w:szCs w:val="18"/>
              </w:rPr>
            </w:pPr>
            <w:r w:rsidRPr="00025B3B">
              <w:rPr>
                <w:sz w:val="18"/>
                <w:szCs w:val="18"/>
              </w:rPr>
              <w:t>C16002e4 + C16002e7 + C16002e10 + C16002e13</w:t>
            </w:r>
          </w:p>
        </w:tc>
      </w:tr>
      <w:tr w:rsidR="00BE4CFE" w:rsidRPr="00025B3B" w14:paraId="40783FF3"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2870CE1F" w14:textId="77777777" w:rsidR="00BE4CFE" w:rsidRPr="00025B3B" w:rsidRDefault="00BE4CFE">
            <w:pPr>
              <w:rPr>
                <w:b/>
                <w:bCs/>
                <w:sz w:val="18"/>
                <w:szCs w:val="18"/>
              </w:rPr>
            </w:pPr>
            <w:r w:rsidRPr="00025B3B">
              <w:rPr>
                <w:b/>
                <w:bCs/>
                <w:sz w:val="18"/>
                <w:szCs w:val="18"/>
              </w:rPr>
              <w:t>Population living with a disability</w:t>
            </w:r>
          </w:p>
        </w:tc>
        <w:tc>
          <w:tcPr>
            <w:tcW w:w="3415" w:type="dxa"/>
            <w:tcBorders>
              <w:top w:val="nil"/>
              <w:left w:val="nil"/>
              <w:bottom w:val="single" w:sz="8" w:space="0" w:color="2F5496"/>
              <w:right w:val="single" w:sz="8" w:space="0" w:color="2F5496"/>
            </w:tcBorders>
            <w:tcMar>
              <w:top w:w="0" w:type="dxa"/>
              <w:left w:w="108" w:type="dxa"/>
              <w:bottom w:w="0" w:type="dxa"/>
              <w:right w:w="108" w:type="dxa"/>
            </w:tcMar>
            <w:hideMark/>
          </w:tcPr>
          <w:p w14:paraId="0AA03E07" w14:textId="77777777" w:rsidR="00BE4CFE" w:rsidRPr="00025B3B" w:rsidRDefault="00BE4CFE">
            <w:pPr>
              <w:rPr>
                <w:sz w:val="18"/>
                <w:szCs w:val="18"/>
              </w:rPr>
            </w:pPr>
            <w:r w:rsidRPr="00025B3B">
              <w:rPr>
                <w:sz w:val="18"/>
                <w:szCs w:val="18"/>
              </w:rPr>
              <w:t>B23024e3 +B23024e18</w:t>
            </w:r>
          </w:p>
        </w:tc>
      </w:tr>
    </w:tbl>
    <w:p w14:paraId="603A29F6" w14:textId="5567A8EE" w:rsidR="00BE4CFE" w:rsidRPr="00777F2C" w:rsidRDefault="00BE4CFE" w:rsidP="00BE4CFE">
      <w:pPr>
        <w:numPr>
          <w:ilvl w:val="0"/>
          <w:numId w:val="3"/>
        </w:numPr>
        <w:spacing w:after="0" w:line="240" w:lineRule="auto"/>
        <w:rPr>
          <w:rFonts w:ascii="Calibri" w:eastAsia="Times New Roman" w:hAnsi="Calibri" w:cs="Calibri"/>
          <w:sz w:val="18"/>
          <w:szCs w:val="18"/>
        </w:rPr>
      </w:pPr>
      <w:r w:rsidRPr="00025B3B">
        <w:rPr>
          <w:rFonts w:eastAsia="Times New Roman"/>
          <w:sz w:val="18"/>
          <w:szCs w:val="18"/>
        </w:rPr>
        <w:t>Create a quintile score for each demographic variable. Each block group received a score of 1-5 for each of the five variables</w:t>
      </w:r>
      <w:r w:rsidR="00A03F40" w:rsidRPr="00777F2C">
        <w:rPr>
          <w:rFonts w:eastAsia="Times New Roman"/>
          <w:sz w:val="18"/>
          <w:szCs w:val="18"/>
        </w:rPr>
        <w:t xml:space="preserve">.  The quintile </w:t>
      </w:r>
      <w:r w:rsidR="00025B3B" w:rsidRPr="00777F2C">
        <w:rPr>
          <w:rFonts w:eastAsia="Times New Roman"/>
          <w:sz w:val="18"/>
          <w:szCs w:val="18"/>
        </w:rPr>
        <w:t>is based on total population within each block group meeting the criteria.</w:t>
      </w:r>
    </w:p>
    <w:p w14:paraId="2AD87227" w14:textId="77777777" w:rsidR="00A03F40" w:rsidRPr="00777F2C" w:rsidRDefault="00A03F40" w:rsidP="00A03F40">
      <w:pPr>
        <w:spacing w:after="0" w:line="240" w:lineRule="auto"/>
        <w:ind w:left="720"/>
        <w:rPr>
          <w:rFonts w:ascii="Calibri" w:eastAsia="Times New Roman" w:hAnsi="Calibri" w:cs="Calibri"/>
          <w:sz w:val="18"/>
          <w:szCs w:val="18"/>
        </w:rPr>
      </w:pPr>
    </w:p>
    <w:p w14:paraId="3268B6A8" w14:textId="77777777" w:rsidR="00BE4CFE" w:rsidRPr="00025B3B" w:rsidRDefault="00BE4CFE" w:rsidP="00BE4CFE">
      <w:pPr>
        <w:numPr>
          <w:ilvl w:val="0"/>
          <w:numId w:val="3"/>
        </w:numPr>
        <w:spacing w:after="0" w:line="240" w:lineRule="auto"/>
        <w:rPr>
          <w:rFonts w:eastAsia="Times New Roman"/>
          <w:sz w:val="18"/>
          <w:szCs w:val="18"/>
        </w:rPr>
      </w:pPr>
      <w:r w:rsidRPr="00025B3B">
        <w:rPr>
          <w:rFonts w:eastAsia="Times New Roman"/>
          <w:sz w:val="18"/>
          <w:szCs w:val="18"/>
        </w:rPr>
        <w:t xml:space="preserve">Each variable was multiplied by the weights in the table below. The weights reflect the County’s commitment to lead with race and our awareness that the margin of error on the foreign born, limited English-speaking household, and disability data is quite large. </w:t>
      </w:r>
    </w:p>
    <w:tbl>
      <w:tblPr>
        <w:tblW w:w="0" w:type="auto"/>
        <w:tblInd w:w="720" w:type="dxa"/>
        <w:tblCellMar>
          <w:left w:w="0" w:type="dxa"/>
          <w:right w:w="0" w:type="dxa"/>
        </w:tblCellMar>
        <w:tblLook w:val="04A0" w:firstRow="1" w:lastRow="0" w:firstColumn="1" w:lastColumn="0" w:noHBand="0" w:noVBand="1"/>
      </w:tblPr>
      <w:tblGrid>
        <w:gridCol w:w="4495"/>
        <w:gridCol w:w="1530"/>
      </w:tblGrid>
      <w:tr w:rsidR="00BE4CFE" w:rsidRPr="00025B3B" w14:paraId="542B485C" w14:textId="77777777" w:rsidTr="00BE4CFE">
        <w:tc>
          <w:tcPr>
            <w:tcW w:w="4495" w:type="dxa"/>
            <w:tcBorders>
              <w:top w:val="single" w:sz="8" w:space="0" w:color="2F5496"/>
              <w:left w:val="single" w:sz="8" w:space="0" w:color="2F5496"/>
              <w:bottom w:val="single" w:sz="8" w:space="0" w:color="2F5496"/>
              <w:right w:val="single" w:sz="8" w:space="0" w:color="BFBFBF"/>
            </w:tcBorders>
            <w:tcMar>
              <w:top w:w="0" w:type="dxa"/>
              <w:left w:w="108" w:type="dxa"/>
              <w:bottom w:w="0" w:type="dxa"/>
              <w:right w:w="108" w:type="dxa"/>
            </w:tcMar>
            <w:hideMark/>
          </w:tcPr>
          <w:p w14:paraId="76342145" w14:textId="77777777" w:rsidR="00BE4CFE" w:rsidRPr="00025B3B" w:rsidRDefault="00BE4CFE">
            <w:pPr>
              <w:rPr>
                <w:b/>
                <w:bCs/>
                <w:sz w:val="18"/>
                <w:szCs w:val="18"/>
              </w:rPr>
            </w:pPr>
            <w:r w:rsidRPr="00025B3B">
              <w:rPr>
                <w:b/>
                <w:bCs/>
                <w:sz w:val="18"/>
                <w:szCs w:val="18"/>
              </w:rPr>
              <w:t>Priority Population Metric</w:t>
            </w:r>
          </w:p>
        </w:tc>
        <w:tc>
          <w:tcPr>
            <w:tcW w:w="1530" w:type="dxa"/>
            <w:tcBorders>
              <w:top w:val="single" w:sz="8" w:space="0" w:color="2F5496"/>
              <w:left w:val="nil"/>
              <w:bottom w:val="single" w:sz="8" w:space="0" w:color="2F5496"/>
              <w:right w:val="single" w:sz="8" w:space="0" w:color="2F5496"/>
            </w:tcBorders>
            <w:tcMar>
              <w:top w:w="0" w:type="dxa"/>
              <w:left w:w="108" w:type="dxa"/>
              <w:bottom w:w="0" w:type="dxa"/>
              <w:right w:w="108" w:type="dxa"/>
            </w:tcMar>
            <w:hideMark/>
          </w:tcPr>
          <w:p w14:paraId="48ED56E4" w14:textId="77777777" w:rsidR="00BE4CFE" w:rsidRPr="00025B3B" w:rsidRDefault="00BE4CFE">
            <w:pPr>
              <w:rPr>
                <w:b/>
                <w:bCs/>
                <w:sz w:val="18"/>
                <w:szCs w:val="18"/>
              </w:rPr>
            </w:pPr>
            <w:r w:rsidRPr="00025B3B">
              <w:rPr>
                <w:b/>
                <w:bCs/>
                <w:sz w:val="18"/>
                <w:szCs w:val="18"/>
              </w:rPr>
              <w:t>Variable Weight</w:t>
            </w:r>
          </w:p>
        </w:tc>
      </w:tr>
      <w:tr w:rsidR="00BE4CFE" w:rsidRPr="00025B3B" w14:paraId="38B3F05A"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1B83E1F7" w14:textId="2F713421" w:rsidR="00BE7C1A" w:rsidRPr="00025B3B" w:rsidRDefault="00BE7C1A">
            <w:pPr>
              <w:rPr>
                <w:b/>
                <w:bCs/>
                <w:sz w:val="18"/>
                <w:szCs w:val="18"/>
              </w:rPr>
            </w:pPr>
            <w:r>
              <w:rPr>
                <w:b/>
                <w:bCs/>
                <w:sz w:val="18"/>
                <w:szCs w:val="18"/>
              </w:rPr>
              <w:t>Population that is non-white or Hispanic</w:t>
            </w:r>
          </w:p>
        </w:tc>
        <w:tc>
          <w:tcPr>
            <w:tcW w:w="1530" w:type="dxa"/>
            <w:tcBorders>
              <w:top w:val="nil"/>
              <w:left w:val="nil"/>
              <w:bottom w:val="single" w:sz="8" w:space="0" w:color="2F5496"/>
              <w:right w:val="single" w:sz="8" w:space="0" w:color="2F5496"/>
            </w:tcBorders>
            <w:tcMar>
              <w:top w:w="0" w:type="dxa"/>
              <w:left w:w="108" w:type="dxa"/>
              <w:bottom w:w="0" w:type="dxa"/>
              <w:right w:w="108" w:type="dxa"/>
            </w:tcMar>
            <w:hideMark/>
          </w:tcPr>
          <w:p w14:paraId="2D8093D4" w14:textId="2368B33F" w:rsidR="00BE4CFE" w:rsidRPr="00025B3B" w:rsidRDefault="00BE7C1A">
            <w:pPr>
              <w:rPr>
                <w:sz w:val="18"/>
                <w:szCs w:val="18"/>
              </w:rPr>
            </w:pPr>
            <w:r>
              <w:rPr>
                <w:sz w:val="18"/>
                <w:szCs w:val="18"/>
              </w:rPr>
              <w:t>4</w:t>
            </w:r>
            <w:r w:rsidR="00BE4CFE" w:rsidRPr="00025B3B">
              <w:rPr>
                <w:sz w:val="18"/>
                <w:szCs w:val="18"/>
              </w:rPr>
              <w:t xml:space="preserve">0%    </w:t>
            </w:r>
          </w:p>
        </w:tc>
      </w:tr>
      <w:tr w:rsidR="00BE4CFE" w:rsidRPr="00025B3B" w14:paraId="7B3786AE"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6A187958" w14:textId="122A9DC1" w:rsidR="00BE7C1A" w:rsidRPr="00025B3B" w:rsidRDefault="00BE7C1A" w:rsidP="0024588D">
            <w:pPr>
              <w:rPr>
                <w:b/>
                <w:bCs/>
                <w:sz w:val="18"/>
                <w:szCs w:val="18"/>
              </w:rPr>
            </w:pPr>
            <w:r w:rsidRPr="00025B3B">
              <w:rPr>
                <w:b/>
                <w:bCs/>
                <w:sz w:val="18"/>
                <w:szCs w:val="18"/>
              </w:rPr>
              <w:t>Population living 200% below the federal poverty line</w:t>
            </w:r>
          </w:p>
        </w:tc>
        <w:tc>
          <w:tcPr>
            <w:tcW w:w="1530" w:type="dxa"/>
            <w:tcBorders>
              <w:top w:val="nil"/>
              <w:left w:val="nil"/>
              <w:bottom w:val="single" w:sz="8" w:space="0" w:color="2F5496"/>
              <w:right w:val="single" w:sz="8" w:space="0" w:color="2F5496"/>
            </w:tcBorders>
            <w:tcMar>
              <w:top w:w="0" w:type="dxa"/>
              <w:left w:w="108" w:type="dxa"/>
              <w:bottom w:w="0" w:type="dxa"/>
              <w:right w:w="108" w:type="dxa"/>
            </w:tcMar>
            <w:hideMark/>
          </w:tcPr>
          <w:p w14:paraId="47F41E34" w14:textId="039C3622" w:rsidR="00BE4CFE" w:rsidRPr="00025B3B" w:rsidRDefault="0024588D">
            <w:pPr>
              <w:rPr>
                <w:sz w:val="18"/>
                <w:szCs w:val="18"/>
              </w:rPr>
            </w:pPr>
            <w:r>
              <w:rPr>
                <w:sz w:val="18"/>
                <w:szCs w:val="18"/>
              </w:rPr>
              <w:t>3</w:t>
            </w:r>
            <w:r w:rsidR="00BE4CFE" w:rsidRPr="00025B3B">
              <w:rPr>
                <w:sz w:val="18"/>
                <w:szCs w:val="18"/>
              </w:rPr>
              <w:t>0%</w:t>
            </w:r>
          </w:p>
        </w:tc>
      </w:tr>
      <w:tr w:rsidR="00BE4CFE" w:rsidRPr="00025B3B" w14:paraId="0CAD1E4E"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1C36C097" w14:textId="0E43A7E3" w:rsidR="00BE7C1A" w:rsidRPr="00025B3B" w:rsidRDefault="00BE7C1A">
            <w:pPr>
              <w:rPr>
                <w:b/>
                <w:bCs/>
                <w:sz w:val="18"/>
                <w:szCs w:val="18"/>
              </w:rPr>
            </w:pPr>
            <w:r>
              <w:rPr>
                <w:b/>
                <w:bCs/>
                <w:sz w:val="18"/>
                <w:szCs w:val="18"/>
              </w:rPr>
              <w:t>Population that is foreign born</w:t>
            </w:r>
          </w:p>
        </w:tc>
        <w:tc>
          <w:tcPr>
            <w:tcW w:w="1530" w:type="dxa"/>
            <w:tcBorders>
              <w:top w:val="nil"/>
              <w:left w:val="nil"/>
              <w:bottom w:val="single" w:sz="8" w:space="0" w:color="2F5496"/>
              <w:right w:val="single" w:sz="8" w:space="0" w:color="2F5496"/>
            </w:tcBorders>
            <w:tcMar>
              <w:top w:w="0" w:type="dxa"/>
              <w:left w:w="108" w:type="dxa"/>
              <w:bottom w:w="0" w:type="dxa"/>
              <w:right w:w="108" w:type="dxa"/>
            </w:tcMar>
            <w:hideMark/>
          </w:tcPr>
          <w:p w14:paraId="7B873299" w14:textId="76496967" w:rsidR="00BE4CFE" w:rsidRPr="00025B3B" w:rsidRDefault="00BE7C1A">
            <w:pPr>
              <w:rPr>
                <w:sz w:val="18"/>
                <w:szCs w:val="18"/>
              </w:rPr>
            </w:pPr>
            <w:r>
              <w:rPr>
                <w:sz w:val="18"/>
                <w:szCs w:val="18"/>
              </w:rPr>
              <w:t>1</w:t>
            </w:r>
            <w:r w:rsidR="00BE4CFE" w:rsidRPr="00025B3B">
              <w:rPr>
                <w:sz w:val="18"/>
                <w:szCs w:val="18"/>
              </w:rPr>
              <w:t>0%</w:t>
            </w:r>
          </w:p>
        </w:tc>
      </w:tr>
      <w:tr w:rsidR="00BE4CFE" w:rsidRPr="00025B3B" w14:paraId="524ACFF2"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68706096" w14:textId="77777777" w:rsidR="00BE4CFE" w:rsidRPr="00025B3B" w:rsidRDefault="00BE4CFE">
            <w:pPr>
              <w:rPr>
                <w:b/>
                <w:bCs/>
                <w:sz w:val="18"/>
                <w:szCs w:val="18"/>
              </w:rPr>
            </w:pPr>
            <w:r w:rsidRPr="00025B3B">
              <w:rPr>
                <w:b/>
                <w:bCs/>
                <w:sz w:val="18"/>
                <w:szCs w:val="18"/>
              </w:rPr>
              <w:t>Limited-English speaking household</w:t>
            </w:r>
          </w:p>
        </w:tc>
        <w:tc>
          <w:tcPr>
            <w:tcW w:w="1530" w:type="dxa"/>
            <w:tcBorders>
              <w:top w:val="nil"/>
              <w:left w:val="nil"/>
              <w:bottom w:val="single" w:sz="8" w:space="0" w:color="2F5496"/>
              <w:right w:val="single" w:sz="8" w:space="0" w:color="2F5496"/>
            </w:tcBorders>
            <w:tcMar>
              <w:top w:w="0" w:type="dxa"/>
              <w:left w:w="108" w:type="dxa"/>
              <w:bottom w:w="0" w:type="dxa"/>
              <w:right w:w="108" w:type="dxa"/>
            </w:tcMar>
            <w:hideMark/>
          </w:tcPr>
          <w:p w14:paraId="3A365AEC" w14:textId="77777777" w:rsidR="00BE4CFE" w:rsidRPr="00025B3B" w:rsidRDefault="00BE4CFE">
            <w:pPr>
              <w:rPr>
                <w:sz w:val="18"/>
                <w:szCs w:val="18"/>
              </w:rPr>
            </w:pPr>
            <w:r w:rsidRPr="00025B3B">
              <w:rPr>
                <w:sz w:val="18"/>
                <w:szCs w:val="18"/>
              </w:rPr>
              <w:t>10%</w:t>
            </w:r>
          </w:p>
        </w:tc>
      </w:tr>
      <w:tr w:rsidR="00BE4CFE" w:rsidRPr="00025B3B" w14:paraId="78547E1F" w14:textId="77777777" w:rsidTr="00BE4CFE">
        <w:tc>
          <w:tcPr>
            <w:tcW w:w="4495" w:type="dxa"/>
            <w:tcBorders>
              <w:top w:val="nil"/>
              <w:left w:val="single" w:sz="8" w:space="0" w:color="2F5496"/>
              <w:bottom w:val="single" w:sz="8" w:space="0" w:color="2F5496"/>
              <w:right w:val="single" w:sz="8" w:space="0" w:color="2F5496"/>
            </w:tcBorders>
            <w:tcMar>
              <w:top w:w="0" w:type="dxa"/>
              <w:left w:w="108" w:type="dxa"/>
              <w:bottom w:w="0" w:type="dxa"/>
              <w:right w:w="108" w:type="dxa"/>
            </w:tcMar>
            <w:hideMark/>
          </w:tcPr>
          <w:p w14:paraId="1B186A4E" w14:textId="77777777" w:rsidR="00BE4CFE" w:rsidRPr="00025B3B" w:rsidRDefault="00BE4CFE">
            <w:pPr>
              <w:rPr>
                <w:b/>
                <w:bCs/>
                <w:sz w:val="18"/>
                <w:szCs w:val="18"/>
              </w:rPr>
            </w:pPr>
            <w:r w:rsidRPr="00025B3B">
              <w:rPr>
                <w:b/>
                <w:bCs/>
                <w:sz w:val="18"/>
                <w:szCs w:val="18"/>
              </w:rPr>
              <w:t>Population living with a disability</w:t>
            </w:r>
          </w:p>
        </w:tc>
        <w:tc>
          <w:tcPr>
            <w:tcW w:w="1530" w:type="dxa"/>
            <w:tcBorders>
              <w:top w:val="nil"/>
              <w:left w:val="nil"/>
              <w:bottom w:val="single" w:sz="8" w:space="0" w:color="2F5496"/>
              <w:right w:val="single" w:sz="8" w:space="0" w:color="2F5496"/>
            </w:tcBorders>
            <w:tcMar>
              <w:top w:w="0" w:type="dxa"/>
              <w:left w:w="108" w:type="dxa"/>
              <w:bottom w:w="0" w:type="dxa"/>
              <w:right w:w="108" w:type="dxa"/>
            </w:tcMar>
            <w:hideMark/>
          </w:tcPr>
          <w:p w14:paraId="12B301B0" w14:textId="77777777" w:rsidR="00BE4CFE" w:rsidRPr="00025B3B" w:rsidRDefault="00BE4CFE">
            <w:pPr>
              <w:rPr>
                <w:sz w:val="18"/>
                <w:szCs w:val="18"/>
              </w:rPr>
            </w:pPr>
            <w:r w:rsidRPr="00025B3B">
              <w:rPr>
                <w:sz w:val="18"/>
                <w:szCs w:val="18"/>
              </w:rPr>
              <w:t>10%</w:t>
            </w:r>
          </w:p>
        </w:tc>
      </w:tr>
    </w:tbl>
    <w:p w14:paraId="59612032" w14:textId="0279FECF" w:rsidR="00FA71CE" w:rsidRDefault="00FA71CE" w:rsidP="00FA71CE">
      <w:pPr>
        <w:spacing w:after="0" w:line="240" w:lineRule="auto"/>
        <w:ind w:left="720"/>
        <w:rPr>
          <w:rFonts w:ascii="Calibri" w:eastAsia="Times New Roman" w:hAnsi="Calibri" w:cs="Calibri"/>
          <w:sz w:val="18"/>
          <w:szCs w:val="18"/>
        </w:rPr>
      </w:pPr>
    </w:p>
    <w:p w14:paraId="78C165E3" w14:textId="77777777" w:rsidR="0029553D" w:rsidRPr="0029553D" w:rsidRDefault="0029553D" w:rsidP="0029553D">
      <w:pPr>
        <w:pStyle w:val="NNNumbList"/>
      </w:pPr>
      <w:r w:rsidRPr="0029553D">
        <w:t xml:space="preserve">The weighted scores are then summed to create an equity index for each block group. Each block group has a score of 1-5. </w:t>
      </w:r>
    </w:p>
    <w:p w14:paraId="03CFC898" w14:textId="77777777" w:rsidR="00281566" w:rsidRDefault="00281566" w:rsidP="00281566">
      <w:pPr>
        <w:pStyle w:val="NNNumbList"/>
        <w:numPr>
          <w:ilvl w:val="0"/>
          <w:numId w:val="0"/>
        </w:numPr>
        <w:rPr>
          <w:rFonts w:eastAsia="Times New Roman"/>
          <w:b/>
          <w:bCs/>
          <w:sz w:val="18"/>
          <w:szCs w:val="18"/>
        </w:rPr>
      </w:pPr>
    </w:p>
    <w:p w14:paraId="5EE4860B" w14:textId="228B4AC7" w:rsidR="00281566" w:rsidRDefault="00E12EEC" w:rsidP="00281566">
      <w:pPr>
        <w:pStyle w:val="NNNumbList"/>
        <w:numPr>
          <w:ilvl w:val="0"/>
          <w:numId w:val="0"/>
        </w:numPr>
        <w:rPr>
          <w:rFonts w:eastAsia="Times New Roman"/>
          <w:sz w:val="18"/>
          <w:szCs w:val="18"/>
        </w:rPr>
      </w:pPr>
      <w:r w:rsidRPr="00E12EEC">
        <w:rPr>
          <w:rFonts w:eastAsia="Times New Roman"/>
          <w:b/>
          <w:bCs/>
          <w:sz w:val="18"/>
          <w:szCs w:val="18"/>
        </w:rPr>
        <w:lastRenderedPageBreak/>
        <w:t>ROUTE OPPORTUNITY INDEX SCORE</w:t>
      </w:r>
      <w:r w:rsidRPr="00E12EEC">
        <w:rPr>
          <w:rFonts w:eastAsia="Times New Roman"/>
          <w:sz w:val="18"/>
          <w:szCs w:val="18"/>
        </w:rPr>
        <w:t>:  given to each route based on what percentage of the route’s stops are within</w:t>
      </w:r>
      <w:r w:rsidR="00281566">
        <w:rPr>
          <w:rFonts w:eastAsia="Times New Roman"/>
          <w:sz w:val="18"/>
          <w:szCs w:val="18"/>
        </w:rPr>
        <w:t xml:space="preserve"> </w:t>
      </w:r>
      <w:r w:rsidRPr="00E12EEC">
        <w:rPr>
          <w:rFonts w:eastAsia="Times New Roman"/>
          <w:sz w:val="18"/>
          <w:szCs w:val="18"/>
        </w:rPr>
        <w:t>the highest areas of need.  Scores range from 1 to 5.</w:t>
      </w:r>
    </w:p>
    <w:p w14:paraId="29B40CCA" w14:textId="7FF741B0" w:rsidR="00281566" w:rsidRPr="00281566" w:rsidRDefault="00E12EEC" w:rsidP="00281566">
      <w:pPr>
        <w:pStyle w:val="NNNumbList"/>
        <w:numPr>
          <w:ilvl w:val="0"/>
          <w:numId w:val="0"/>
        </w:numPr>
        <w:rPr>
          <w:rFonts w:eastAsia="Times New Roman"/>
          <w:sz w:val="18"/>
          <w:szCs w:val="18"/>
        </w:rPr>
      </w:pPr>
      <w:r w:rsidRPr="00E12EEC">
        <w:rPr>
          <w:rFonts w:eastAsia="Times New Roman"/>
          <w:b/>
          <w:bCs/>
          <w:sz w:val="18"/>
          <w:szCs w:val="18"/>
        </w:rPr>
        <w:t>Methodology:</w:t>
      </w:r>
    </w:p>
    <w:p w14:paraId="132B32C0" w14:textId="3C65D548" w:rsidR="00E12EEC" w:rsidRPr="00281566" w:rsidRDefault="00E12EEC" w:rsidP="00281566">
      <w:pPr>
        <w:pStyle w:val="NNNumbList"/>
        <w:numPr>
          <w:ilvl w:val="0"/>
          <w:numId w:val="0"/>
        </w:numPr>
        <w:rPr>
          <w:rFonts w:eastAsia="Times New Roman"/>
          <w:b/>
          <w:bCs/>
          <w:sz w:val="18"/>
          <w:szCs w:val="18"/>
        </w:rPr>
      </w:pPr>
      <w:r w:rsidRPr="00E12EEC">
        <w:rPr>
          <w:rFonts w:eastAsia="Times New Roman"/>
          <w:sz w:val="18"/>
          <w:szCs w:val="18"/>
        </w:rPr>
        <w:t>For each route (school</w:t>
      </w:r>
      <w:r>
        <w:rPr>
          <w:rFonts w:eastAsia="Times New Roman"/>
          <w:sz w:val="18"/>
          <w:szCs w:val="18"/>
        </w:rPr>
        <w:t xml:space="preserve">, </w:t>
      </w:r>
      <w:r w:rsidRPr="00E12EEC">
        <w:rPr>
          <w:rFonts w:eastAsia="Times New Roman"/>
          <w:sz w:val="18"/>
          <w:szCs w:val="18"/>
        </w:rPr>
        <w:t>custom</w:t>
      </w:r>
      <w:r>
        <w:rPr>
          <w:rFonts w:eastAsia="Times New Roman"/>
          <w:sz w:val="18"/>
          <w:szCs w:val="18"/>
        </w:rPr>
        <w:t xml:space="preserve">, </w:t>
      </w:r>
      <w:r w:rsidR="00354CF4">
        <w:rPr>
          <w:rFonts w:eastAsia="Times New Roman"/>
          <w:sz w:val="18"/>
          <w:szCs w:val="18"/>
        </w:rPr>
        <w:t>Community Connections and Sound Transit</w:t>
      </w:r>
      <w:r w:rsidRPr="00E12EEC">
        <w:rPr>
          <w:rFonts w:eastAsia="Times New Roman"/>
          <w:sz w:val="18"/>
          <w:szCs w:val="18"/>
        </w:rPr>
        <w:t xml:space="preserve"> routes excluded):</w:t>
      </w:r>
    </w:p>
    <w:p w14:paraId="7B46B80D" w14:textId="54C07388" w:rsidR="00E12EEC" w:rsidRPr="00E12EEC" w:rsidRDefault="00E12EEC" w:rsidP="00281566">
      <w:pPr>
        <w:pStyle w:val="NNNumbList"/>
        <w:numPr>
          <w:ilvl w:val="0"/>
          <w:numId w:val="0"/>
        </w:numPr>
        <w:ind w:left="720"/>
        <w:rPr>
          <w:rFonts w:eastAsia="Times New Roman"/>
          <w:sz w:val="18"/>
          <w:szCs w:val="18"/>
        </w:rPr>
      </w:pPr>
      <w:r w:rsidRPr="00E12EEC">
        <w:rPr>
          <w:rFonts w:eastAsia="Times New Roman"/>
          <w:sz w:val="18"/>
          <w:szCs w:val="18"/>
        </w:rPr>
        <w:t>1 - calculate the number of stops (both IB/OB) for a route</w:t>
      </w:r>
    </w:p>
    <w:p w14:paraId="630FD5CA" w14:textId="7E9B211A" w:rsidR="00E12EEC" w:rsidRPr="00E12EEC" w:rsidRDefault="00E12EEC" w:rsidP="00281566">
      <w:pPr>
        <w:pStyle w:val="NNNumbList"/>
        <w:numPr>
          <w:ilvl w:val="0"/>
          <w:numId w:val="0"/>
        </w:numPr>
        <w:ind w:left="720"/>
        <w:rPr>
          <w:rFonts w:eastAsia="Times New Roman"/>
          <w:sz w:val="18"/>
          <w:szCs w:val="18"/>
        </w:rPr>
      </w:pPr>
      <w:r w:rsidRPr="00E12EEC">
        <w:rPr>
          <w:rFonts w:eastAsia="Times New Roman"/>
          <w:sz w:val="18"/>
          <w:szCs w:val="18"/>
        </w:rPr>
        <w:t xml:space="preserve">2 - calculate the number of stops that fall within </w:t>
      </w:r>
      <w:r w:rsidR="003B7C55">
        <w:rPr>
          <w:rFonts w:eastAsia="Times New Roman"/>
          <w:sz w:val="18"/>
          <w:szCs w:val="18"/>
        </w:rPr>
        <w:t>a</w:t>
      </w:r>
      <w:r w:rsidRPr="00E12EEC">
        <w:rPr>
          <w:rFonts w:eastAsia="Times New Roman"/>
          <w:sz w:val="18"/>
          <w:szCs w:val="18"/>
        </w:rPr>
        <w:t xml:space="preserve"> highest Area of Need Census Block Group </w:t>
      </w:r>
      <w:r w:rsidR="001C508D">
        <w:rPr>
          <w:rFonts w:eastAsia="Times New Roman"/>
          <w:sz w:val="18"/>
          <w:szCs w:val="18"/>
        </w:rPr>
        <w:t>(score of 5).</w:t>
      </w:r>
    </w:p>
    <w:p w14:paraId="71898504" w14:textId="4421AB0C" w:rsidR="00E12EEC" w:rsidRPr="00E12EEC" w:rsidRDefault="00E12EEC" w:rsidP="00281566">
      <w:pPr>
        <w:pStyle w:val="NNNumbList"/>
        <w:numPr>
          <w:ilvl w:val="0"/>
          <w:numId w:val="0"/>
        </w:numPr>
        <w:ind w:left="720"/>
        <w:rPr>
          <w:rFonts w:eastAsia="Times New Roman"/>
          <w:sz w:val="18"/>
          <w:szCs w:val="18"/>
        </w:rPr>
      </w:pPr>
      <w:r w:rsidRPr="00E12EEC">
        <w:rPr>
          <w:rFonts w:eastAsia="Times New Roman"/>
          <w:sz w:val="18"/>
          <w:szCs w:val="18"/>
        </w:rPr>
        <w:t xml:space="preserve">3 - calculate the percent of all stops </w:t>
      </w:r>
      <w:r w:rsidR="001C508D">
        <w:rPr>
          <w:rFonts w:eastAsia="Times New Roman"/>
          <w:sz w:val="18"/>
          <w:szCs w:val="18"/>
        </w:rPr>
        <w:t xml:space="preserve">on a route </w:t>
      </w:r>
      <w:r w:rsidRPr="00E12EEC">
        <w:rPr>
          <w:rFonts w:eastAsia="Times New Roman"/>
          <w:sz w:val="18"/>
          <w:szCs w:val="18"/>
        </w:rPr>
        <w:t xml:space="preserve">that fall within a highest Area of Need census block group </w:t>
      </w:r>
    </w:p>
    <w:p w14:paraId="5795C7C7" w14:textId="182D5A6F" w:rsidR="00E12EEC" w:rsidRPr="00E12EEC" w:rsidRDefault="00E12EEC" w:rsidP="00281566">
      <w:pPr>
        <w:pStyle w:val="NNNumbList"/>
        <w:numPr>
          <w:ilvl w:val="0"/>
          <w:numId w:val="0"/>
        </w:numPr>
        <w:ind w:left="1170" w:hanging="450"/>
        <w:rPr>
          <w:rFonts w:eastAsia="Times New Roman"/>
          <w:sz w:val="18"/>
          <w:szCs w:val="18"/>
        </w:rPr>
      </w:pPr>
      <w:r w:rsidRPr="00E12EEC">
        <w:rPr>
          <w:rFonts w:eastAsia="Times New Roman"/>
          <w:sz w:val="18"/>
          <w:szCs w:val="18"/>
        </w:rPr>
        <w:t xml:space="preserve">4 - calculate an Opportunity Index Score for each route using the percentiles created in step 3:  rank the percentages for all </w:t>
      </w:r>
      <w:r w:rsidR="0029553D" w:rsidRPr="00E12EEC">
        <w:rPr>
          <w:rFonts w:eastAsia="Times New Roman"/>
          <w:sz w:val="18"/>
          <w:szCs w:val="18"/>
        </w:rPr>
        <w:t>routes into</w:t>
      </w:r>
      <w:r w:rsidRPr="00E12EEC">
        <w:rPr>
          <w:rFonts w:eastAsia="Times New Roman"/>
          <w:sz w:val="18"/>
          <w:szCs w:val="18"/>
        </w:rPr>
        <w:t xml:space="preserve"> quintiles (1 = lowest/5 = highest) and give each route a score of 1 to 5 </w:t>
      </w:r>
    </w:p>
    <w:p w14:paraId="281E116F" w14:textId="77777777" w:rsidR="00E12EEC" w:rsidRPr="00E12EEC" w:rsidRDefault="00E12EEC" w:rsidP="00E12EEC">
      <w:pPr>
        <w:pStyle w:val="NNNumbList"/>
        <w:numPr>
          <w:ilvl w:val="0"/>
          <w:numId w:val="0"/>
        </w:numPr>
        <w:ind w:left="360"/>
        <w:rPr>
          <w:rFonts w:eastAsia="Times New Roman"/>
          <w:sz w:val="18"/>
          <w:szCs w:val="18"/>
        </w:rPr>
      </w:pPr>
    </w:p>
    <w:p w14:paraId="248F97A2" w14:textId="77777777" w:rsidR="00E12EEC" w:rsidRPr="00E12EEC" w:rsidRDefault="00E12EEC" w:rsidP="00281566">
      <w:pPr>
        <w:pStyle w:val="NNNumbList"/>
        <w:numPr>
          <w:ilvl w:val="0"/>
          <w:numId w:val="0"/>
        </w:numPr>
        <w:rPr>
          <w:rFonts w:eastAsia="Times New Roman"/>
          <w:sz w:val="18"/>
          <w:szCs w:val="18"/>
        </w:rPr>
      </w:pPr>
      <w:r w:rsidRPr="00E12EEC">
        <w:rPr>
          <w:rFonts w:eastAsia="Times New Roman"/>
          <w:sz w:val="18"/>
          <w:szCs w:val="18"/>
        </w:rPr>
        <w:t>An Opportunity Index Score of 1 = the route is within the lowest quintile of percentage of stops within the highest Area of Need</w:t>
      </w:r>
    </w:p>
    <w:p w14:paraId="22AEAE51" w14:textId="33B8E031" w:rsidR="00E12EEC" w:rsidRPr="00E12EEC" w:rsidRDefault="00E12EEC" w:rsidP="00281566">
      <w:pPr>
        <w:pStyle w:val="NNNumbList"/>
        <w:numPr>
          <w:ilvl w:val="0"/>
          <w:numId w:val="0"/>
        </w:numPr>
        <w:rPr>
          <w:rFonts w:eastAsia="Times New Roman"/>
          <w:sz w:val="18"/>
          <w:szCs w:val="18"/>
        </w:rPr>
      </w:pPr>
      <w:r w:rsidRPr="00E12EEC">
        <w:rPr>
          <w:rFonts w:eastAsia="Times New Roman"/>
          <w:sz w:val="18"/>
          <w:szCs w:val="18"/>
        </w:rPr>
        <w:t xml:space="preserve">An Opportunity Index Score of 5 = the route is in the highest quintile of percentage of stops in the highest Areas of Need    </w:t>
      </w:r>
    </w:p>
    <w:p w14:paraId="0A382572" w14:textId="77777777" w:rsidR="0024588D" w:rsidRPr="00025B3B" w:rsidRDefault="0024588D" w:rsidP="0024588D">
      <w:pPr>
        <w:spacing w:after="0" w:line="240" w:lineRule="auto"/>
        <w:ind w:left="720"/>
        <w:rPr>
          <w:rFonts w:ascii="Calibri" w:eastAsia="Times New Roman" w:hAnsi="Calibri" w:cs="Calibri"/>
          <w:sz w:val="18"/>
          <w:szCs w:val="18"/>
        </w:rPr>
      </w:pPr>
    </w:p>
    <w:p w14:paraId="31FB3175" w14:textId="77777777" w:rsidR="00A03F40" w:rsidRPr="00025B3B" w:rsidRDefault="00A03F40" w:rsidP="00A03F40">
      <w:pPr>
        <w:spacing w:after="0" w:line="240" w:lineRule="auto"/>
        <w:ind w:left="720"/>
        <w:rPr>
          <w:rFonts w:ascii="Calibri" w:eastAsia="Times New Roman" w:hAnsi="Calibri" w:cs="Calibri"/>
          <w:sz w:val="18"/>
          <w:szCs w:val="18"/>
        </w:rPr>
      </w:pPr>
    </w:p>
    <w:tbl>
      <w:tblPr>
        <w:tblW w:w="9183" w:type="dxa"/>
        <w:tblLook w:val="04A0" w:firstRow="1" w:lastRow="0" w:firstColumn="1" w:lastColumn="0" w:noHBand="0" w:noVBand="1"/>
      </w:tblPr>
      <w:tblGrid>
        <w:gridCol w:w="9183"/>
      </w:tblGrid>
      <w:tr w:rsidR="00F32E37" w:rsidRPr="00F32E37" w14:paraId="3C5FF074" w14:textId="77777777" w:rsidTr="00F32E37">
        <w:trPr>
          <w:trHeight w:val="288"/>
        </w:trPr>
        <w:tc>
          <w:tcPr>
            <w:tcW w:w="9183" w:type="dxa"/>
            <w:tcBorders>
              <w:top w:val="nil"/>
              <w:left w:val="nil"/>
              <w:bottom w:val="nil"/>
              <w:right w:val="nil"/>
            </w:tcBorders>
            <w:shd w:val="clear" w:color="auto" w:fill="auto"/>
            <w:noWrap/>
            <w:vAlign w:val="bottom"/>
            <w:hideMark/>
          </w:tcPr>
          <w:p w14:paraId="7C2449E0" w14:textId="6EE83FEF" w:rsidR="00E46515" w:rsidRPr="008C7EDC" w:rsidRDefault="00E46515" w:rsidP="00F32E37">
            <w:pPr>
              <w:spacing w:after="0" w:line="240" w:lineRule="auto"/>
              <w:outlineLvl w:val="1"/>
              <w:rPr>
                <w:rFonts w:ascii="Calibri" w:eastAsia="Times New Roman" w:hAnsi="Calibri" w:cs="Calibri"/>
                <w:b/>
                <w:bCs/>
                <w:color w:val="000000"/>
              </w:rPr>
            </w:pPr>
            <w:r w:rsidRPr="008C7EDC">
              <w:rPr>
                <w:rFonts w:ascii="Calibri" w:eastAsia="Times New Roman" w:hAnsi="Calibri" w:cs="Calibri"/>
                <w:b/>
                <w:bCs/>
                <w:color w:val="000000"/>
              </w:rPr>
              <w:t>Breakdown of Opportunity Index Scores:</w:t>
            </w:r>
          </w:p>
          <w:p w14:paraId="5EE9B5C0" w14:textId="77777777" w:rsidR="00E46515" w:rsidRDefault="00E46515" w:rsidP="00F32E37">
            <w:pPr>
              <w:spacing w:after="0" w:line="240" w:lineRule="auto"/>
              <w:outlineLvl w:val="1"/>
              <w:rPr>
                <w:rFonts w:ascii="Calibri" w:eastAsia="Times New Roman" w:hAnsi="Calibri" w:cs="Calibri"/>
                <w:color w:val="000000"/>
              </w:rPr>
            </w:pPr>
          </w:p>
          <w:p w14:paraId="3FE12BF3" w14:textId="14FE558A"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 xml:space="preserve">Full </w:t>
            </w:r>
            <w:proofErr w:type="gramStart"/>
            <w:r w:rsidRPr="00F32E37">
              <w:rPr>
                <w:rFonts w:ascii="Calibri" w:eastAsia="Times New Roman" w:hAnsi="Calibri" w:cs="Calibri"/>
                <w:color w:val="000000"/>
              </w:rPr>
              <w:t>Network  March</w:t>
            </w:r>
            <w:proofErr w:type="gramEnd"/>
            <w:r w:rsidRPr="00F32E37">
              <w:rPr>
                <w:rFonts w:ascii="Calibri" w:eastAsia="Times New Roman" w:hAnsi="Calibri" w:cs="Calibri"/>
                <w:color w:val="000000"/>
              </w:rPr>
              <w:t xml:space="preserve"> 2020 = 217 routes</w:t>
            </w:r>
          </w:p>
        </w:tc>
      </w:tr>
      <w:tr w:rsidR="00F32E37" w:rsidRPr="00F32E37" w14:paraId="3E22A5F8" w14:textId="77777777" w:rsidTr="00F32E37">
        <w:trPr>
          <w:trHeight w:val="288"/>
        </w:trPr>
        <w:tc>
          <w:tcPr>
            <w:tcW w:w="9183" w:type="dxa"/>
            <w:tcBorders>
              <w:top w:val="nil"/>
              <w:left w:val="nil"/>
              <w:bottom w:val="nil"/>
              <w:right w:val="nil"/>
            </w:tcBorders>
            <w:shd w:val="clear" w:color="auto" w:fill="auto"/>
            <w:noWrap/>
            <w:vAlign w:val="bottom"/>
            <w:hideMark/>
          </w:tcPr>
          <w:p w14:paraId="2390402F" w14:textId="77777777" w:rsid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 xml:space="preserve">Routes with Scores = 180 </w:t>
            </w:r>
          </w:p>
          <w:p w14:paraId="4798708D" w14:textId="7B2C94EF" w:rsidR="00E46515" w:rsidRPr="00F32E37" w:rsidRDefault="00E46515" w:rsidP="00F32E37">
            <w:pPr>
              <w:spacing w:after="0" w:line="240" w:lineRule="auto"/>
              <w:outlineLvl w:val="1"/>
              <w:rPr>
                <w:rFonts w:ascii="Calibri" w:eastAsia="Times New Roman" w:hAnsi="Calibri" w:cs="Calibri"/>
                <w:color w:val="000000"/>
              </w:rPr>
            </w:pPr>
            <w:r>
              <w:rPr>
                <w:rFonts w:ascii="Calibri" w:eastAsia="Times New Roman" w:hAnsi="Calibri" w:cs="Calibri"/>
                <w:color w:val="000000"/>
              </w:rPr>
              <w:t>Breakdown by Score</w:t>
            </w:r>
          </w:p>
        </w:tc>
      </w:tr>
      <w:tr w:rsidR="00F32E37" w:rsidRPr="00F32E37" w14:paraId="5D938BDF" w14:textId="77777777" w:rsidTr="00F32E37">
        <w:trPr>
          <w:trHeight w:val="288"/>
        </w:trPr>
        <w:tc>
          <w:tcPr>
            <w:tcW w:w="9183" w:type="dxa"/>
            <w:tcBorders>
              <w:top w:val="nil"/>
              <w:left w:val="nil"/>
              <w:bottom w:val="nil"/>
              <w:right w:val="nil"/>
            </w:tcBorders>
            <w:shd w:val="clear" w:color="auto" w:fill="auto"/>
            <w:noWrap/>
            <w:vAlign w:val="bottom"/>
            <w:hideMark/>
          </w:tcPr>
          <w:p w14:paraId="5245DF47" w14:textId="3742C909"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5 = 41</w:t>
            </w:r>
            <w:r w:rsidR="00E46515">
              <w:rPr>
                <w:rFonts w:ascii="Calibri" w:eastAsia="Times New Roman" w:hAnsi="Calibri" w:cs="Calibri"/>
                <w:color w:val="000000"/>
              </w:rPr>
              <w:t xml:space="preserve"> routes</w:t>
            </w:r>
          </w:p>
        </w:tc>
      </w:tr>
      <w:tr w:rsidR="00F32E37" w:rsidRPr="00F32E37" w14:paraId="74BC31AA" w14:textId="77777777" w:rsidTr="00F32E37">
        <w:trPr>
          <w:trHeight w:val="288"/>
        </w:trPr>
        <w:tc>
          <w:tcPr>
            <w:tcW w:w="9183" w:type="dxa"/>
            <w:tcBorders>
              <w:top w:val="nil"/>
              <w:left w:val="nil"/>
              <w:bottom w:val="nil"/>
              <w:right w:val="nil"/>
            </w:tcBorders>
            <w:shd w:val="clear" w:color="auto" w:fill="auto"/>
            <w:noWrap/>
            <w:vAlign w:val="bottom"/>
            <w:hideMark/>
          </w:tcPr>
          <w:p w14:paraId="0069C521" w14:textId="2B0AB476"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4 = 34</w:t>
            </w:r>
            <w:r w:rsidR="00E46515">
              <w:rPr>
                <w:rFonts w:ascii="Calibri" w:eastAsia="Times New Roman" w:hAnsi="Calibri" w:cs="Calibri"/>
                <w:color w:val="000000"/>
              </w:rPr>
              <w:t xml:space="preserve"> routes</w:t>
            </w:r>
          </w:p>
        </w:tc>
      </w:tr>
      <w:tr w:rsidR="00F32E37" w:rsidRPr="00F32E37" w14:paraId="55FFC0B1" w14:textId="77777777" w:rsidTr="00F32E37">
        <w:trPr>
          <w:trHeight w:val="288"/>
        </w:trPr>
        <w:tc>
          <w:tcPr>
            <w:tcW w:w="9183" w:type="dxa"/>
            <w:tcBorders>
              <w:top w:val="nil"/>
              <w:left w:val="nil"/>
              <w:bottom w:val="nil"/>
              <w:right w:val="nil"/>
            </w:tcBorders>
            <w:shd w:val="clear" w:color="auto" w:fill="auto"/>
            <w:noWrap/>
            <w:vAlign w:val="bottom"/>
            <w:hideMark/>
          </w:tcPr>
          <w:p w14:paraId="72CA4D2E" w14:textId="463EC2EA"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3 = 35</w:t>
            </w:r>
            <w:r w:rsidR="00E46515">
              <w:rPr>
                <w:rFonts w:ascii="Calibri" w:eastAsia="Times New Roman" w:hAnsi="Calibri" w:cs="Calibri"/>
                <w:color w:val="000000"/>
              </w:rPr>
              <w:t xml:space="preserve"> routes</w:t>
            </w:r>
          </w:p>
        </w:tc>
      </w:tr>
      <w:tr w:rsidR="00F32E37" w:rsidRPr="00F32E37" w14:paraId="66E31A1C" w14:textId="77777777" w:rsidTr="00F32E37">
        <w:trPr>
          <w:trHeight w:val="288"/>
        </w:trPr>
        <w:tc>
          <w:tcPr>
            <w:tcW w:w="9183" w:type="dxa"/>
            <w:tcBorders>
              <w:top w:val="nil"/>
              <w:left w:val="nil"/>
              <w:bottom w:val="nil"/>
              <w:right w:val="nil"/>
            </w:tcBorders>
            <w:shd w:val="clear" w:color="auto" w:fill="auto"/>
            <w:noWrap/>
            <w:vAlign w:val="bottom"/>
            <w:hideMark/>
          </w:tcPr>
          <w:p w14:paraId="4F901E31" w14:textId="26085F79"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2 = 34</w:t>
            </w:r>
            <w:r w:rsidR="00E46515">
              <w:rPr>
                <w:rFonts w:ascii="Calibri" w:eastAsia="Times New Roman" w:hAnsi="Calibri" w:cs="Calibri"/>
                <w:color w:val="000000"/>
              </w:rPr>
              <w:t xml:space="preserve"> routes</w:t>
            </w:r>
          </w:p>
        </w:tc>
      </w:tr>
      <w:tr w:rsidR="00F32E37" w:rsidRPr="00F32E37" w14:paraId="5505D708" w14:textId="77777777" w:rsidTr="00F32E37">
        <w:trPr>
          <w:trHeight w:val="288"/>
        </w:trPr>
        <w:tc>
          <w:tcPr>
            <w:tcW w:w="9183" w:type="dxa"/>
            <w:tcBorders>
              <w:top w:val="nil"/>
              <w:left w:val="nil"/>
              <w:bottom w:val="nil"/>
              <w:right w:val="nil"/>
            </w:tcBorders>
            <w:shd w:val="clear" w:color="auto" w:fill="auto"/>
            <w:noWrap/>
            <w:vAlign w:val="bottom"/>
            <w:hideMark/>
          </w:tcPr>
          <w:p w14:paraId="316D9BFC" w14:textId="0397427A" w:rsidR="00F32E37" w:rsidRPr="00F32E37" w:rsidRDefault="00F32E37" w:rsidP="00F32E37">
            <w:pPr>
              <w:spacing w:after="0" w:line="240" w:lineRule="auto"/>
              <w:outlineLvl w:val="1"/>
              <w:rPr>
                <w:rFonts w:ascii="Calibri" w:eastAsia="Times New Roman" w:hAnsi="Calibri" w:cs="Calibri"/>
                <w:color w:val="000000"/>
              </w:rPr>
            </w:pPr>
            <w:r w:rsidRPr="00F32E37">
              <w:rPr>
                <w:rFonts w:ascii="Calibri" w:eastAsia="Times New Roman" w:hAnsi="Calibri" w:cs="Calibri"/>
                <w:color w:val="000000"/>
              </w:rPr>
              <w:t>1 = 36</w:t>
            </w:r>
            <w:r w:rsidR="00E46515">
              <w:rPr>
                <w:rFonts w:ascii="Calibri" w:eastAsia="Times New Roman" w:hAnsi="Calibri" w:cs="Calibri"/>
                <w:color w:val="000000"/>
              </w:rPr>
              <w:t xml:space="preserve"> routes</w:t>
            </w:r>
          </w:p>
        </w:tc>
      </w:tr>
    </w:tbl>
    <w:p w14:paraId="0EFC9443" w14:textId="77777777" w:rsidR="001D4F3A" w:rsidRPr="00281566" w:rsidRDefault="001D4F3A" w:rsidP="00BE4CFE">
      <w:pPr>
        <w:rPr>
          <w:iCs/>
          <w:sz w:val="18"/>
          <w:szCs w:val="18"/>
          <w:u w:val="single"/>
        </w:rPr>
      </w:pPr>
    </w:p>
    <w:sectPr w:rsidR="001D4F3A" w:rsidRPr="0028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C2B6B"/>
    <w:multiLevelType w:val="hybridMultilevel"/>
    <w:tmpl w:val="798214A6"/>
    <w:lvl w:ilvl="0" w:tplc="868893DC">
      <w:start w:val="1"/>
      <w:numFmt w:val="decimal"/>
      <w:pStyle w:val="NNNumbList"/>
      <w:lvlText w:val="%1."/>
      <w:lvlJc w:val="left"/>
      <w:pPr>
        <w:ind w:left="720" w:hanging="36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D168FBC6">
      <w:start w:val="1"/>
      <w:numFmt w:val="lowerLetter"/>
      <w:pStyle w:val="NNNumbList2"/>
      <w:lvlText w:val="%2."/>
      <w:lvlJc w:val="left"/>
      <w:pPr>
        <w:ind w:left="1426" w:hanging="360"/>
      </w:pPr>
    </w:lvl>
    <w:lvl w:ilvl="2" w:tplc="12DCF3F0">
      <w:start w:val="1"/>
      <w:numFmt w:val="lowerRoman"/>
      <w:lvlText w:val="%3."/>
      <w:lvlJc w:val="right"/>
      <w:pPr>
        <w:ind w:left="2866" w:hanging="180"/>
      </w:pPr>
    </w:lvl>
    <w:lvl w:ilvl="3" w:tplc="3D9E4BB4">
      <w:start w:val="1"/>
      <w:numFmt w:val="lowerRoman"/>
      <w:pStyle w:val="NNNumbList3"/>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FE"/>
    <w:rsid w:val="00025B3B"/>
    <w:rsid w:val="000821D6"/>
    <w:rsid w:val="0015132B"/>
    <w:rsid w:val="00171F84"/>
    <w:rsid w:val="00197DA0"/>
    <w:rsid w:val="001C508D"/>
    <w:rsid w:val="001D4F3A"/>
    <w:rsid w:val="001D538E"/>
    <w:rsid w:val="001F6122"/>
    <w:rsid w:val="0024588D"/>
    <w:rsid w:val="0025462A"/>
    <w:rsid w:val="00281566"/>
    <w:rsid w:val="0029553D"/>
    <w:rsid w:val="002F5CA6"/>
    <w:rsid w:val="00323FCF"/>
    <w:rsid w:val="00354CF4"/>
    <w:rsid w:val="003B7C55"/>
    <w:rsid w:val="003E1D6C"/>
    <w:rsid w:val="00583339"/>
    <w:rsid w:val="00583ACE"/>
    <w:rsid w:val="00587E56"/>
    <w:rsid w:val="0060738E"/>
    <w:rsid w:val="00623A48"/>
    <w:rsid w:val="006C09E6"/>
    <w:rsid w:val="00716A51"/>
    <w:rsid w:val="00777F2C"/>
    <w:rsid w:val="0079281C"/>
    <w:rsid w:val="00796A91"/>
    <w:rsid w:val="00854434"/>
    <w:rsid w:val="00855DB0"/>
    <w:rsid w:val="008C7EDC"/>
    <w:rsid w:val="008F0E7D"/>
    <w:rsid w:val="009A6474"/>
    <w:rsid w:val="009F693B"/>
    <w:rsid w:val="00A03F40"/>
    <w:rsid w:val="00A45C7D"/>
    <w:rsid w:val="00A52673"/>
    <w:rsid w:val="00A67AC9"/>
    <w:rsid w:val="00AC79A7"/>
    <w:rsid w:val="00AC7F4E"/>
    <w:rsid w:val="00B016C0"/>
    <w:rsid w:val="00B14EB1"/>
    <w:rsid w:val="00B35572"/>
    <w:rsid w:val="00B621E2"/>
    <w:rsid w:val="00B66D13"/>
    <w:rsid w:val="00B76ED7"/>
    <w:rsid w:val="00BB185F"/>
    <w:rsid w:val="00BE4CFE"/>
    <w:rsid w:val="00BE7C1A"/>
    <w:rsid w:val="00BF67C1"/>
    <w:rsid w:val="00E12EEC"/>
    <w:rsid w:val="00E46515"/>
    <w:rsid w:val="00E62C41"/>
    <w:rsid w:val="00EC754D"/>
    <w:rsid w:val="00F0159F"/>
    <w:rsid w:val="00F32E37"/>
    <w:rsid w:val="00F5540B"/>
    <w:rsid w:val="00FA71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CDF1"/>
  <w15:chartTrackingRefBased/>
  <w15:docId w15:val="{04E91491-44A3-43FC-BFAB-E277218F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NNumbList">
    <w:name w:val="NN Numb List"/>
    <w:basedOn w:val="Normal"/>
    <w:rsid w:val="00BE4CFE"/>
    <w:pPr>
      <w:numPr>
        <w:numId w:val="3"/>
      </w:numPr>
      <w:spacing w:before="60" w:after="60" w:line="260" w:lineRule="atLeast"/>
    </w:pPr>
    <w:rPr>
      <w:rFonts w:ascii="Calibri" w:hAnsi="Calibri" w:cs="Calibri"/>
      <w:sz w:val="20"/>
      <w:szCs w:val="20"/>
    </w:rPr>
  </w:style>
  <w:style w:type="paragraph" w:customStyle="1" w:styleId="NNNumbList2">
    <w:name w:val="NN Numb List 2"/>
    <w:basedOn w:val="Normal"/>
    <w:rsid w:val="00BE4CFE"/>
    <w:pPr>
      <w:numPr>
        <w:ilvl w:val="1"/>
        <w:numId w:val="1"/>
      </w:numPr>
      <w:spacing w:before="60" w:after="60" w:line="260" w:lineRule="atLeast"/>
      <w:ind w:left="1080"/>
    </w:pPr>
    <w:rPr>
      <w:rFonts w:ascii="Calibri" w:hAnsi="Calibri" w:cs="Calibri"/>
      <w:sz w:val="20"/>
      <w:szCs w:val="20"/>
    </w:rPr>
  </w:style>
  <w:style w:type="paragraph" w:customStyle="1" w:styleId="NNNumbList3">
    <w:name w:val="NN Numb List 3"/>
    <w:basedOn w:val="Normal"/>
    <w:rsid w:val="00BE4CFE"/>
    <w:pPr>
      <w:numPr>
        <w:ilvl w:val="3"/>
        <w:numId w:val="1"/>
      </w:numPr>
      <w:spacing w:before="60" w:after="60" w:line="260" w:lineRule="atLeast"/>
      <w:ind w:left="1440"/>
    </w:pPr>
    <w:rPr>
      <w:rFonts w:ascii="Calibri" w:hAnsi="Calibri" w:cs="Calibri"/>
      <w:sz w:val="20"/>
      <w:szCs w:val="20"/>
    </w:rPr>
  </w:style>
  <w:style w:type="table" w:styleId="TableGrid">
    <w:name w:val="Table Grid"/>
    <w:basedOn w:val="TableNormal"/>
    <w:uiPriority w:val="39"/>
    <w:rsid w:val="00A4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33728">
      <w:bodyDiv w:val="1"/>
      <w:marLeft w:val="0"/>
      <w:marRight w:val="0"/>
      <w:marTop w:val="0"/>
      <w:marBottom w:val="0"/>
      <w:divBdr>
        <w:top w:val="none" w:sz="0" w:space="0" w:color="auto"/>
        <w:left w:val="none" w:sz="0" w:space="0" w:color="auto"/>
        <w:bottom w:val="none" w:sz="0" w:space="0" w:color="auto"/>
        <w:right w:val="none" w:sz="0" w:space="0" w:color="auto"/>
      </w:divBdr>
    </w:div>
    <w:div w:id="960304731">
      <w:bodyDiv w:val="1"/>
      <w:marLeft w:val="0"/>
      <w:marRight w:val="0"/>
      <w:marTop w:val="0"/>
      <w:marBottom w:val="0"/>
      <w:divBdr>
        <w:top w:val="none" w:sz="0" w:space="0" w:color="auto"/>
        <w:left w:val="none" w:sz="0" w:space="0" w:color="auto"/>
        <w:bottom w:val="none" w:sz="0" w:space="0" w:color="auto"/>
        <w:right w:val="none" w:sz="0" w:space="0" w:color="auto"/>
      </w:divBdr>
    </w:div>
    <w:div w:id="1351567475">
      <w:bodyDiv w:val="1"/>
      <w:marLeft w:val="0"/>
      <w:marRight w:val="0"/>
      <w:marTop w:val="0"/>
      <w:marBottom w:val="0"/>
      <w:divBdr>
        <w:top w:val="none" w:sz="0" w:space="0" w:color="auto"/>
        <w:left w:val="none" w:sz="0" w:space="0" w:color="auto"/>
        <w:bottom w:val="none" w:sz="0" w:space="0" w:color="auto"/>
        <w:right w:val="none" w:sz="0" w:space="0" w:color="auto"/>
      </w:divBdr>
    </w:div>
    <w:div w:id="14401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03A9BA1C1EE846B58539412B8580C2" ma:contentTypeVersion="15" ma:contentTypeDescription="Create a new document." ma:contentTypeScope="" ma:versionID="40eaa1b01ff131f6f296cdc8bcf2ff92">
  <xsd:schema xmlns:xsd="http://www.w3.org/2001/XMLSchema" xmlns:xs="http://www.w3.org/2001/XMLSchema" xmlns:p="http://schemas.microsoft.com/office/2006/metadata/properties" xmlns:ns1="http://schemas.microsoft.com/sharepoint/v3" xmlns:ns3="e6e5ddb0-71c0-4eb3-8792-8f3a84f43689" xmlns:ns4="888fabda-18af-467b-9563-392557203a89" targetNamespace="http://schemas.microsoft.com/office/2006/metadata/properties" ma:root="true" ma:fieldsID="0495bfc6564993a85151154181eb6978" ns1:_="" ns3:_="" ns4:_="">
    <xsd:import namespace="http://schemas.microsoft.com/sharepoint/v3"/>
    <xsd:import namespace="e6e5ddb0-71c0-4eb3-8792-8f3a84f43689"/>
    <xsd:import namespace="888fabda-18af-467b-9563-392557203a8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1:_ip_UnifiedCompliancePolicyProperties" minOccurs="0"/>
                <xsd:element ref="ns1:_ip_UnifiedCompliancePolicyUIActio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e5ddb0-71c0-4eb3-8792-8f3a84f436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8fabda-18af-467b-9563-392557203a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4955E2-9DAF-4EDE-9189-5E0DD0FE3B8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003CE86-8669-4C2D-9EA5-C08AEBB7A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e5ddb0-71c0-4eb3-8792-8f3a84f43689"/>
    <ds:schemaRef ds:uri="888fabda-18af-467b-9563-392557203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2BB611-9963-4CA2-BCB4-4CEABC0F67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Flanagan, Colette</dc:creator>
  <cp:keywords/>
  <dc:description/>
  <cp:lastModifiedBy>Gaughan, Melissa</cp:lastModifiedBy>
  <cp:revision>2</cp:revision>
  <dcterms:created xsi:type="dcterms:W3CDTF">2020-10-09T19:35:00Z</dcterms:created>
  <dcterms:modified xsi:type="dcterms:W3CDTF">2020-10-09T19:35:00Z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0x0101006503A9BA1C1EE846B58539412B8580C2</vt:lpwstr>
  </property>
</Properties>
</file>