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FAA3E" w14:textId="5689A09F" w:rsidR="00923C1B" w:rsidRDefault="004830BA" w:rsidP="004830BA">
      <w:pPr>
        <w:pStyle w:val="Ttulo"/>
      </w:pPr>
      <w:r>
        <w:t>Économie &amp; Data Science</w:t>
      </w:r>
    </w:p>
    <w:p w14:paraId="40B7667F" w14:textId="52CEA13F" w:rsidR="004830BA" w:rsidRPr="004830BA" w:rsidRDefault="004830BA" w:rsidP="00227175">
      <w:pPr>
        <w:pStyle w:val="Subttulo"/>
      </w:pPr>
      <w:r w:rsidRPr="004830BA">
        <w:t>La zone euro est-elle une zone économique homogène ?</w:t>
      </w:r>
    </w:p>
    <w:p w14:paraId="0708644D" w14:textId="3718B68D" w:rsidR="006A79AB" w:rsidRPr="00436978" w:rsidRDefault="006A79AB" w:rsidP="00436978">
      <w:pPr>
        <w:jc w:val="both"/>
        <w:rPr>
          <w:rFonts w:ascii="Arial" w:hAnsi="Arial" w:cs="Arial"/>
          <w:sz w:val="22"/>
          <w:szCs w:val="22"/>
        </w:rPr>
      </w:pPr>
      <w:r w:rsidRPr="00436978">
        <w:rPr>
          <w:rFonts w:ascii="Arial" w:hAnsi="Arial" w:cs="Arial"/>
          <w:sz w:val="22"/>
          <w:szCs w:val="22"/>
        </w:rPr>
        <w:t>Ce dossier mobilise des outils de science des données</w:t>
      </w:r>
      <w:r w:rsidRPr="00436978">
        <w:rPr>
          <w:rFonts w:ascii="Arial" w:hAnsi="Arial" w:cs="Arial"/>
          <w:sz w:val="22"/>
          <w:szCs w:val="22"/>
        </w:rPr>
        <w:t xml:space="preserve"> (</w:t>
      </w:r>
      <w:r w:rsidRPr="00436978">
        <w:rPr>
          <w:rFonts w:ascii="Arial" w:hAnsi="Arial" w:cs="Arial"/>
          <w:sz w:val="22"/>
          <w:szCs w:val="22"/>
        </w:rPr>
        <w:t xml:space="preserve">statistiques descriptives, </w:t>
      </w:r>
      <w:r w:rsidRPr="00436978">
        <w:rPr>
          <w:rFonts w:ascii="Arial" w:hAnsi="Arial" w:cs="Arial"/>
          <w:sz w:val="22"/>
          <w:szCs w:val="22"/>
        </w:rPr>
        <w:t xml:space="preserve">identification des outliers, </w:t>
      </w:r>
      <w:r w:rsidRPr="00436978">
        <w:rPr>
          <w:rFonts w:ascii="Arial" w:hAnsi="Arial" w:cs="Arial"/>
          <w:sz w:val="22"/>
          <w:szCs w:val="22"/>
        </w:rPr>
        <w:t>normalisation Min-Max, classements, matrices de corrélation et algorithme K-Means</w:t>
      </w:r>
      <w:r w:rsidRPr="00436978">
        <w:rPr>
          <w:rFonts w:ascii="Arial" w:hAnsi="Arial" w:cs="Arial"/>
          <w:sz w:val="22"/>
          <w:szCs w:val="22"/>
        </w:rPr>
        <w:t>)</w:t>
      </w:r>
      <w:r w:rsidRPr="00436978">
        <w:rPr>
          <w:rFonts w:ascii="Arial" w:hAnsi="Arial" w:cs="Arial"/>
          <w:sz w:val="22"/>
          <w:szCs w:val="22"/>
        </w:rPr>
        <w:t xml:space="preserve"> pour répondre empiriquement à</w:t>
      </w:r>
      <w:r w:rsidRPr="00436978">
        <w:rPr>
          <w:rFonts w:ascii="Arial" w:hAnsi="Arial" w:cs="Arial"/>
          <w:sz w:val="22"/>
          <w:szCs w:val="22"/>
        </w:rPr>
        <w:t xml:space="preserve"> </w:t>
      </w:r>
      <w:r w:rsidRPr="00436978">
        <w:rPr>
          <w:rFonts w:ascii="Arial" w:hAnsi="Arial" w:cs="Arial"/>
          <w:sz w:val="22"/>
          <w:szCs w:val="22"/>
        </w:rPr>
        <w:t>:</w:t>
      </w:r>
    </w:p>
    <w:p w14:paraId="5D793090" w14:textId="3AD47298" w:rsidR="006A79AB" w:rsidRPr="00436978" w:rsidRDefault="006A79AB" w:rsidP="006A79AB">
      <w:pPr>
        <w:pStyle w:val="PargrafodaLista"/>
        <w:numPr>
          <w:ilvl w:val="0"/>
          <w:numId w:val="1"/>
        </w:numPr>
        <w:rPr>
          <w:rFonts w:ascii="Arial" w:hAnsi="Arial" w:cs="Arial"/>
          <w:sz w:val="22"/>
          <w:szCs w:val="22"/>
        </w:rPr>
      </w:pPr>
      <w:r w:rsidRPr="00436978">
        <w:rPr>
          <w:rFonts w:ascii="Arial" w:hAnsi="Arial" w:cs="Arial"/>
          <w:sz w:val="22"/>
          <w:szCs w:val="22"/>
        </w:rPr>
        <w:t>La zone euro est-elle une zone économique homogène ?</w:t>
      </w:r>
    </w:p>
    <w:p w14:paraId="70B8E35A" w14:textId="58C405C6" w:rsidR="004830BA" w:rsidRPr="00436978" w:rsidRDefault="006A79AB" w:rsidP="006A79AB">
      <w:pPr>
        <w:pStyle w:val="PargrafodaLista"/>
        <w:numPr>
          <w:ilvl w:val="0"/>
          <w:numId w:val="1"/>
        </w:numPr>
        <w:rPr>
          <w:rFonts w:ascii="Arial" w:hAnsi="Arial" w:cs="Arial"/>
          <w:sz w:val="22"/>
          <w:szCs w:val="22"/>
        </w:rPr>
      </w:pPr>
      <w:r w:rsidRPr="00436978">
        <w:rPr>
          <w:rFonts w:ascii="Arial" w:hAnsi="Arial" w:cs="Arial"/>
          <w:sz w:val="22"/>
          <w:szCs w:val="22"/>
        </w:rPr>
        <w:t>Les pays membres présentent-ils des caractéristiques suffisamment proches pour partager une même monnaie ?</w:t>
      </w:r>
    </w:p>
    <w:p w14:paraId="4D264435" w14:textId="1682F9D7" w:rsidR="006A79AB" w:rsidRDefault="006A79AB" w:rsidP="000745AC">
      <w:pPr>
        <w:pStyle w:val="Ttulo1"/>
      </w:pPr>
      <w:r>
        <w:t>Tableau comparatif</w:t>
      </w:r>
    </w:p>
    <w:p w14:paraId="466F7FBE" w14:textId="672B493E" w:rsidR="007767A9" w:rsidRPr="00436978" w:rsidRDefault="007767A9" w:rsidP="007767A9">
      <w:pPr>
        <w:rPr>
          <w:rFonts w:ascii="Arial" w:hAnsi="Arial" w:cs="Arial"/>
          <w:sz w:val="22"/>
          <w:szCs w:val="22"/>
        </w:rPr>
      </w:pPr>
      <w:r w:rsidRPr="00436978">
        <w:rPr>
          <w:rFonts w:ascii="Arial" w:hAnsi="Arial" w:cs="Arial"/>
          <w:sz w:val="22"/>
          <w:szCs w:val="22"/>
        </w:rPr>
        <w:t xml:space="preserve">Le tableau suivant synthétise les principales variables pour chaque pays membre. Les valeurs sont issues </w:t>
      </w:r>
      <w:r w:rsidRPr="00436978">
        <w:rPr>
          <w:rFonts w:ascii="Arial" w:hAnsi="Arial" w:cs="Arial"/>
          <w:sz w:val="22"/>
          <w:szCs w:val="22"/>
        </w:rPr>
        <w:t xml:space="preserve">de </w:t>
      </w:r>
      <w:r w:rsidRPr="00436978">
        <w:rPr>
          <w:rFonts w:ascii="Arial" w:hAnsi="Arial" w:cs="Arial"/>
          <w:sz w:val="22"/>
          <w:szCs w:val="22"/>
        </w:rPr>
        <w:t>2024.</w:t>
      </w:r>
    </w:p>
    <w:p w14:paraId="27A3DB4A" w14:textId="75831EB7" w:rsidR="006A79AB" w:rsidRDefault="006A79AB" w:rsidP="006A79AB">
      <w:r w:rsidRPr="006A79AB">
        <w:drawing>
          <wp:inline distT="0" distB="0" distL="0" distR="0" wp14:anchorId="423E57C7" wp14:editId="32EE9878">
            <wp:extent cx="6598864" cy="2750820"/>
            <wp:effectExtent l="0" t="0" r="0" b="0"/>
            <wp:docPr id="8388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91" name=""/>
                    <pic:cNvPicPr/>
                  </pic:nvPicPr>
                  <pic:blipFill>
                    <a:blip r:embed="rId5"/>
                    <a:stretch>
                      <a:fillRect/>
                    </a:stretch>
                  </pic:blipFill>
                  <pic:spPr>
                    <a:xfrm>
                      <a:off x="0" y="0"/>
                      <a:ext cx="6607486" cy="2754414"/>
                    </a:xfrm>
                    <a:prstGeom prst="rect">
                      <a:avLst/>
                    </a:prstGeom>
                  </pic:spPr>
                </pic:pic>
              </a:graphicData>
            </a:graphic>
          </wp:inline>
        </w:drawing>
      </w:r>
    </w:p>
    <w:p w14:paraId="138D97BC" w14:textId="79AFE994" w:rsidR="006B1A63" w:rsidRDefault="006B1A63" w:rsidP="000745AC">
      <w:pPr>
        <w:pStyle w:val="Ttulo1"/>
      </w:pPr>
      <w:r w:rsidRPr="006B1A63">
        <w:t>Traitement des Données</w:t>
      </w:r>
    </w:p>
    <w:p w14:paraId="233C062B" w14:textId="13DF0DD4" w:rsidR="006B1A63" w:rsidRDefault="006B1A63" w:rsidP="000745AC">
      <w:pPr>
        <w:pStyle w:val="Ttulo2"/>
        <w:rPr>
          <w:b/>
          <w:bCs/>
          <w:color w:val="auto"/>
        </w:rPr>
      </w:pPr>
      <w:r w:rsidRPr="006B1A63">
        <w:rPr>
          <w:b/>
          <w:bCs/>
          <w:color w:val="auto"/>
        </w:rPr>
        <w:t xml:space="preserve">Identification et traitement des </w:t>
      </w:r>
      <w:r>
        <w:rPr>
          <w:b/>
          <w:bCs/>
          <w:color w:val="auto"/>
        </w:rPr>
        <w:t>outliers</w:t>
      </w:r>
    </w:p>
    <w:p w14:paraId="31502379" w14:textId="62107785" w:rsidR="006B1A63" w:rsidRPr="00436978" w:rsidRDefault="006B1A63" w:rsidP="00436978">
      <w:pPr>
        <w:jc w:val="both"/>
        <w:rPr>
          <w:rFonts w:ascii="Arial" w:hAnsi="Arial" w:cs="Arial"/>
          <w:sz w:val="22"/>
          <w:szCs w:val="22"/>
        </w:rPr>
      </w:pPr>
      <w:r w:rsidRPr="00436978">
        <w:rPr>
          <w:rFonts w:ascii="Arial" w:hAnsi="Arial" w:cs="Arial"/>
          <w:sz w:val="22"/>
          <w:szCs w:val="22"/>
        </w:rPr>
        <w:t>Avant toute normalisation, une analyse exploratoire des distributions a été conduite à l'aide de boxplots sur les 12 variables quantitatives. La méthode de l'IQR (Interquartile Range) a ensuite été appliquée pour identifier les pays présentant des valeurs statistiquement aberrantes. Le seuil retenu est la règle classique : une valeur est considérée outlier si elle dépasse Q3 + 1,5×IQR ou est inférieure à Q1 − 1,5×IQR.</w:t>
      </w:r>
    </w:p>
    <w:p w14:paraId="4EACAF03" w14:textId="6A6DA635" w:rsidR="006B1A63" w:rsidRDefault="006B1A63" w:rsidP="00436978">
      <w:pPr>
        <w:jc w:val="both"/>
      </w:pPr>
      <w:r w:rsidRPr="00436978">
        <w:rPr>
          <w:rFonts w:ascii="Arial" w:hAnsi="Arial" w:cs="Arial"/>
          <w:sz w:val="22"/>
          <w:szCs w:val="22"/>
        </w:rPr>
        <w:t>Les outliers identifiés ont été traités par capping (écrêtage) : leur valeur est ramenée au seuil limite, plutôt qu'éliminée. Cette approche préserve l'information du pays tout en évitant qu'un cas extrême ne distorde l'ensemble de la normalisation. C'est notamment le cas du Luxembourg pour le PIB/habitant et de la Grèce pour la dette publique</w:t>
      </w:r>
      <w:r>
        <w:t>.</w:t>
      </w:r>
    </w:p>
    <w:p w14:paraId="154D7A34" w14:textId="6F163898" w:rsidR="00E34C4F" w:rsidRPr="006B1A63" w:rsidRDefault="00E34C4F" w:rsidP="006B1A63">
      <w:r>
        <w:rPr>
          <w:noProof/>
        </w:rPr>
        <w:lastRenderedPageBreak/>
        <w:drawing>
          <wp:inline distT="0" distB="0" distL="0" distR="0" wp14:anchorId="42861156" wp14:editId="4F2690B3">
            <wp:extent cx="6645910" cy="5180965"/>
            <wp:effectExtent l="0" t="0" r="2540" b="635"/>
            <wp:docPr id="170088115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81150" name="Imagem 1700881150"/>
                    <pic:cNvPicPr/>
                  </pic:nvPicPr>
                  <pic:blipFill>
                    <a:blip r:embed="rId6">
                      <a:extLst>
                        <a:ext uri="{28A0092B-C50C-407E-A947-70E740481C1C}">
                          <a14:useLocalDpi xmlns:a14="http://schemas.microsoft.com/office/drawing/2010/main" val="0"/>
                        </a:ext>
                      </a:extLst>
                    </a:blip>
                    <a:stretch>
                      <a:fillRect/>
                    </a:stretch>
                  </pic:blipFill>
                  <pic:spPr>
                    <a:xfrm>
                      <a:off x="0" y="0"/>
                      <a:ext cx="6645910" cy="5180965"/>
                    </a:xfrm>
                    <a:prstGeom prst="rect">
                      <a:avLst/>
                    </a:prstGeom>
                  </pic:spPr>
                </pic:pic>
              </a:graphicData>
            </a:graphic>
          </wp:inline>
        </w:drawing>
      </w:r>
    </w:p>
    <w:p w14:paraId="66C23B0F" w14:textId="77777777" w:rsidR="000745AC" w:rsidRDefault="000745AC" w:rsidP="000745AC">
      <w:pPr>
        <w:pStyle w:val="Ttulo2"/>
        <w:rPr>
          <w:b/>
          <w:bCs/>
          <w:color w:val="auto"/>
        </w:rPr>
      </w:pPr>
    </w:p>
    <w:p w14:paraId="564A925A" w14:textId="4A818B1A" w:rsidR="00E34C4F" w:rsidRPr="000745AC" w:rsidRDefault="00E34C4F" w:rsidP="000745AC">
      <w:pPr>
        <w:pStyle w:val="Ttulo2"/>
        <w:rPr>
          <w:b/>
          <w:bCs/>
          <w:color w:val="auto"/>
        </w:rPr>
      </w:pPr>
      <w:r w:rsidRPr="000745AC">
        <w:rPr>
          <w:b/>
          <w:bCs/>
          <w:color w:val="auto"/>
        </w:rPr>
        <w:t>Normalisation Min-Max</w:t>
      </w:r>
    </w:p>
    <w:p w14:paraId="1C1FC784" w14:textId="09A7C821" w:rsidR="00E34C4F" w:rsidRPr="00436978" w:rsidRDefault="00E34C4F" w:rsidP="00E34C4F">
      <w:pPr>
        <w:rPr>
          <w:rFonts w:ascii="Arial" w:hAnsi="Arial" w:cs="Arial"/>
          <w:sz w:val="22"/>
          <w:szCs w:val="22"/>
        </w:rPr>
      </w:pPr>
      <w:r w:rsidRPr="00436978">
        <w:rPr>
          <w:rFonts w:ascii="Arial" w:hAnsi="Arial" w:cs="Arial"/>
          <w:sz w:val="22"/>
          <w:szCs w:val="22"/>
        </w:rPr>
        <w:t>La normalisation est une étape indispensable avant tout clustering ou calcul d'indice composite. En effet, les variables sont exprimées dans des unités très différentes (euros, pourcentages, années de vie), ce qui introduirait des biais dans tout calcul de distance euclidienne.</w:t>
      </w:r>
    </w:p>
    <w:p w14:paraId="0A35C48F" w14:textId="77777777" w:rsidR="00E34C4F" w:rsidRPr="00436978" w:rsidRDefault="00E34C4F" w:rsidP="00E34C4F">
      <w:pPr>
        <w:rPr>
          <w:rFonts w:ascii="Arial" w:hAnsi="Arial" w:cs="Arial"/>
          <w:sz w:val="22"/>
          <w:szCs w:val="22"/>
        </w:rPr>
      </w:pPr>
      <w:r w:rsidRPr="00436978">
        <w:rPr>
          <w:rFonts w:ascii="Arial" w:hAnsi="Arial" w:cs="Arial"/>
          <w:sz w:val="22"/>
          <w:szCs w:val="22"/>
        </w:rPr>
        <w:t>La normalisation Min-Max a été appliquée différemment selon le sens de la variable :</w:t>
      </w:r>
    </w:p>
    <w:p w14:paraId="4BC25EDE" w14:textId="256CCD46" w:rsidR="00E34C4F" w:rsidRPr="00436978" w:rsidRDefault="00E34C4F" w:rsidP="00E34C4F">
      <w:pPr>
        <w:pStyle w:val="PargrafodaLista"/>
        <w:numPr>
          <w:ilvl w:val="0"/>
          <w:numId w:val="4"/>
        </w:numPr>
        <w:rPr>
          <w:rFonts w:ascii="Arial" w:hAnsi="Arial" w:cs="Arial"/>
          <w:sz w:val="22"/>
          <w:szCs w:val="22"/>
        </w:rPr>
      </w:pPr>
      <w:r w:rsidRPr="00436978">
        <w:rPr>
          <w:rFonts w:ascii="Arial" w:hAnsi="Arial" w:cs="Arial"/>
          <w:sz w:val="22"/>
          <w:szCs w:val="22"/>
        </w:rPr>
        <w:t>Variables positives (plus la valeur est élevée, mieux c'est) : score = (x − min) / (max − min)</w:t>
      </w:r>
      <w:r w:rsidRPr="00436978">
        <w:rPr>
          <w:rFonts w:ascii="Arial" w:hAnsi="Arial" w:cs="Arial"/>
          <w:sz w:val="22"/>
          <w:szCs w:val="22"/>
        </w:rPr>
        <w:t> ;</w:t>
      </w:r>
    </w:p>
    <w:p w14:paraId="6E7636AD" w14:textId="2AD7D12A" w:rsidR="00E34C4F" w:rsidRPr="00436978" w:rsidRDefault="00E34C4F" w:rsidP="00E34C4F">
      <w:pPr>
        <w:pStyle w:val="PargrafodaLista"/>
        <w:numPr>
          <w:ilvl w:val="0"/>
          <w:numId w:val="4"/>
        </w:numPr>
        <w:rPr>
          <w:rFonts w:ascii="Arial" w:hAnsi="Arial" w:cs="Arial"/>
          <w:sz w:val="22"/>
          <w:szCs w:val="22"/>
        </w:rPr>
      </w:pPr>
      <w:r w:rsidRPr="00436978">
        <w:rPr>
          <w:rFonts w:ascii="Arial" w:hAnsi="Arial" w:cs="Arial"/>
          <w:sz w:val="22"/>
          <w:szCs w:val="22"/>
        </w:rPr>
        <w:t>Variables négatives (plus la valeur est faible, mieux c'est) : score = (max − x) / (max − min)</w:t>
      </w:r>
      <w:r w:rsidRPr="00436978">
        <w:rPr>
          <w:rFonts w:ascii="Arial" w:hAnsi="Arial" w:cs="Arial"/>
          <w:sz w:val="22"/>
          <w:szCs w:val="22"/>
        </w:rPr>
        <w:t>.</w:t>
      </w:r>
    </w:p>
    <w:p w14:paraId="11A1B803" w14:textId="481C885A" w:rsidR="00E34C4F" w:rsidRPr="00436978" w:rsidRDefault="00E34C4F" w:rsidP="00E34C4F">
      <w:pPr>
        <w:rPr>
          <w:rFonts w:ascii="Arial" w:hAnsi="Arial" w:cs="Arial"/>
          <w:sz w:val="22"/>
          <w:szCs w:val="22"/>
        </w:rPr>
      </w:pPr>
      <w:r w:rsidRPr="00436978">
        <w:rPr>
          <w:rFonts w:ascii="Arial" w:hAnsi="Arial" w:cs="Arial"/>
          <w:sz w:val="22"/>
          <w:szCs w:val="22"/>
        </w:rPr>
        <w:t>Après traitement, toutes les variables sont comprises entre 0 (pire performance) et 1 (meilleure performance), dans une logique unifiée.</w:t>
      </w:r>
    </w:p>
    <w:p w14:paraId="71414080" w14:textId="77777777" w:rsidR="006B1A63" w:rsidRDefault="006B1A63" w:rsidP="006A79AB"/>
    <w:p w14:paraId="381E2835" w14:textId="286970DF" w:rsidR="006A79AB" w:rsidRDefault="006A79AB" w:rsidP="000745AC">
      <w:pPr>
        <w:pStyle w:val="Ttulo1"/>
      </w:pPr>
      <w:r>
        <w:t>Classements des pays</w:t>
      </w:r>
    </w:p>
    <w:p w14:paraId="146BD8F3" w14:textId="558C2B76" w:rsidR="000745AC" w:rsidRDefault="000745AC" w:rsidP="000745AC">
      <w:pPr>
        <w:pStyle w:val="Ttulo2"/>
        <w:rPr>
          <w:b/>
          <w:bCs/>
          <w:color w:val="auto"/>
        </w:rPr>
      </w:pPr>
      <w:r w:rsidRPr="000745AC">
        <w:rPr>
          <w:b/>
          <w:bCs/>
          <w:color w:val="auto"/>
        </w:rPr>
        <w:t>Construction des indices composites</w:t>
      </w:r>
    </w:p>
    <w:p w14:paraId="08003D38" w14:textId="77777777" w:rsidR="000745AC" w:rsidRPr="00436978" w:rsidRDefault="000745AC" w:rsidP="000745AC">
      <w:pPr>
        <w:rPr>
          <w:rFonts w:ascii="Arial" w:hAnsi="Arial" w:cs="Arial"/>
          <w:sz w:val="22"/>
          <w:szCs w:val="22"/>
        </w:rPr>
      </w:pPr>
      <w:r w:rsidRPr="00436978">
        <w:rPr>
          <w:rFonts w:ascii="Arial" w:hAnsi="Arial" w:cs="Arial"/>
          <w:sz w:val="22"/>
          <w:szCs w:val="22"/>
        </w:rPr>
        <w:t xml:space="preserve">Trois indices composites ont été construits par moyenne simple des variables normalisées correspondantes. En statistique macroéconomique, ce type d'agrégation est appelé Indice Composite. </w:t>
      </w:r>
      <w:r w:rsidRPr="00436978">
        <w:rPr>
          <w:rFonts w:ascii="Arial" w:hAnsi="Arial" w:cs="Arial"/>
          <w:sz w:val="22"/>
          <w:szCs w:val="22"/>
        </w:rPr>
        <w:lastRenderedPageBreak/>
        <w:t>L'utilisation d'une moyenne simple implique que toutes les variables ont le même poids au sein de leur catégorie.</w:t>
      </w:r>
    </w:p>
    <w:p w14:paraId="0C729EB7" w14:textId="2CD6F41C" w:rsidR="000745AC" w:rsidRPr="00436978" w:rsidRDefault="000745AC" w:rsidP="000745AC">
      <w:pPr>
        <w:pStyle w:val="PargrafodaLista"/>
        <w:numPr>
          <w:ilvl w:val="0"/>
          <w:numId w:val="5"/>
        </w:numPr>
        <w:rPr>
          <w:rFonts w:ascii="Arial" w:hAnsi="Arial" w:cs="Arial"/>
          <w:sz w:val="22"/>
          <w:szCs w:val="22"/>
        </w:rPr>
      </w:pPr>
      <w:r w:rsidRPr="00436978">
        <w:rPr>
          <w:rFonts w:ascii="Arial" w:hAnsi="Arial" w:cs="Arial"/>
          <w:b/>
          <w:bCs/>
          <w:sz w:val="22"/>
          <w:szCs w:val="22"/>
        </w:rPr>
        <w:t>Score Richesse</w:t>
      </w:r>
      <w:r w:rsidRPr="00436978">
        <w:rPr>
          <w:rFonts w:ascii="Arial" w:hAnsi="Arial" w:cs="Arial"/>
          <w:sz w:val="22"/>
          <w:szCs w:val="22"/>
        </w:rPr>
        <w:t xml:space="preserve"> = moyenne(PIB/habitant_norm, salaire_médian_norm)</w:t>
      </w:r>
      <w:r w:rsidRPr="00436978">
        <w:rPr>
          <w:rFonts w:ascii="Arial" w:hAnsi="Arial" w:cs="Arial"/>
          <w:sz w:val="22"/>
          <w:szCs w:val="22"/>
        </w:rPr>
        <w:t> ;</w:t>
      </w:r>
    </w:p>
    <w:p w14:paraId="243F783F" w14:textId="6610ACE3" w:rsidR="000745AC" w:rsidRPr="00436978" w:rsidRDefault="000745AC" w:rsidP="000745AC">
      <w:pPr>
        <w:pStyle w:val="PargrafodaLista"/>
        <w:numPr>
          <w:ilvl w:val="0"/>
          <w:numId w:val="5"/>
        </w:numPr>
        <w:rPr>
          <w:rFonts w:ascii="Arial" w:hAnsi="Arial" w:cs="Arial"/>
          <w:sz w:val="22"/>
          <w:szCs w:val="22"/>
        </w:rPr>
      </w:pPr>
      <w:r w:rsidRPr="00436978">
        <w:rPr>
          <w:rFonts w:ascii="Arial" w:hAnsi="Arial" w:cs="Arial"/>
          <w:b/>
          <w:bCs/>
          <w:sz w:val="22"/>
          <w:szCs w:val="22"/>
        </w:rPr>
        <w:t>Score Stabilité Économique</w:t>
      </w:r>
      <w:r w:rsidRPr="00436978">
        <w:rPr>
          <w:rFonts w:ascii="Arial" w:hAnsi="Arial" w:cs="Arial"/>
          <w:sz w:val="22"/>
          <w:szCs w:val="22"/>
        </w:rPr>
        <w:t xml:space="preserve"> = moyenne(croissance_norm, balance_commerciale_norm, inflation_norm, chômage_norm, dette_publique_norm)</w:t>
      </w:r>
      <w:r w:rsidRPr="00436978">
        <w:rPr>
          <w:rFonts w:ascii="Arial" w:hAnsi="Arial" w:cs="Arial"/>
          <w:sz w:val="22"/>
          <w:szCs w:val="22"/>
        </w:rPr>
        <w:t> ;</w:t>
      </w:r>
    </w:p>
    <w:p w14:paraId="53CCBD2C" w14:textId="28C571AF" w:rsidR="000745AC" w:rsidRPr="00436978" w:rsidRDefault="000745AC" w:rsidP="000745AC">
      <w:pPr>
        <w:pStyle w:val="PargrafodaLista"/>
        <w:numPr>
          <w:ilvl w:val="0"/>
          <w:numId w:val="5"/>
        </w:numPr>
        <w:rPr>
          <w:rFonts w:ascii="Arial" w:hAnsi="Arial" w:cs="Arial"/>
          <w:sz w:val="22"/>
          <w:szCs w:val="22"/>
        </w:rPr>
      </w:pPr>
      <w:r w:rsidRPr="00436978">
        <w:rPr>
          <w:rFonts w:ascii="Arial" w:hAnsi="Arial" w:cs="Arial"/>
          <w:b/>
          <w:bCs/>
          <w:sz w:val="22"/>
          <w:szCs w:val="22"/>
        </w:rPr>
        <w:t xml:space="preserve">Score Qualité de Vie </w:t>
      </w:r>
      <w:r w:rsidRPr="00436978">
        <w:rPr>
          <w:rFonts w:ascii="Arial" w:hAnsi="Arial" w:cs="Arial"/>
          <w:sz w:val="22"/>
          <w:szCs w:val="22"/>
        </w:rPr>
        <w:t>= moyenne(IDH_norm, gini_norm, pauvreté_norm, dépenses_logement_norm, privation_matérielle_norm)</w:t>
      </w:r>
      <w:r w:rsidRPr="00436978">
        <w:rPr>
          <w:rFonts w:ascii="Arial" w:hAnsi="Arial" w:cs="Arial"/>
          <w:sz w:val="22"/>
          <w:szCs w:val="22"/>
        </w:rPr>
        <w:t>.</w:t>
      </w:r>
    </w:p>
    <w:p w14:paraId="12ECEE7D" w14:textId="7F292BCD" w:rsidR="006A79AB" w:rsidRDefault="006A79AB" w:rsidP="006A79AB">
      <w:r w:rsidRPr="006A79AB">
        <w:drawing>
          <wp:inline distT="0" distB="0" distL="0" distR="0" wp14:anchorId="69825341" wp14:editId="4892064A">
            <wp:extent cx="2606040" cy="3661978"/>
            <wp:effectExtent l="0" t="0" r="3810" b="0"/>
            <wp:docPr id="1344270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7027" name=""/>
                    <pic:cNvPicPr/>
                  </pic:nvPicPr>
                  <pic:blipFill>
                    <a:blip r:embed="rId7"/>
                    <a:stretch>
                      <a:fillRect/>
                    </a:stretch>
                  </pic:blipFill>
                  <pic:spPr>
                    <a:xfrm>
                      <a:off x="0" y="0"/>
                      <a:ext cx="2612723" cy="3671368"/>
                    </a:xfrm>
                    <a:prstGeom prst="rect">
                      <a:avLst/>
                    </a:prstGeom>
                  </pic:spPr>
                </pic:pic>
              </a:graphicData>
            </a:graphic>
          </wp:inline>
        </w:drawing>
      </w:r>
    </w:p>
    <w:p w14:paraId="0D2CBB50" w14:textId="77777777" w:rsidR="00F96DB5" w:rsidRDefault="00F96DB5" w:rsidP="006A79AB"/>
    <w:p w14:paraId="4E82D9F6" w14:textId="77777777" w:rsidR="00F96DB5" w:rsidRDefault="00F96DB5" w:rsidP="006A79AB">
      <w:pPr>
        <w:rPr>
          <w:rFonts w:asciiTheme="majorHAnsi" w:eastAsiaTheme="majorEastAsia" w:hAnsiTheme="majorHAnsi" w:cstheme="majorBidi"/>
          <w:sz w:val="40"/>
          <w:szCs w:val="40"/>
        </w:rPr>
      </w:pPr>
      <w:r w:rsidRPr="00F96DB5">
        <w:rPr>
          <w:rFonts w:asciiTheme="majorHAnsi" w:eastAsiaTheme="majorEastAsia" w:hAnsiTheme="majorHAnsi" w:cstheme="majorBidi"/>
          <w:sz w:val="40"/>
          <w:szCs w:val="40"/>
        </w:rPr>
        <w:t>Statistiques descriptives</w:t>
      </w:r>
      <w:r w:rsidRPr="00F96DB5">
        <w:rPr>
          <w:rFonts w:asciiTheme="majorHAnsi" w:eastAsiaTheme="majorEastAsia" w:hAnsiTheme="majorHAnsi" w:cstheme="majorBidi"/>
          <w:sz w:val="40"/>
          <w:szCs w:val="40"/>
        </w:rPr>
        <w:t xml:space="preserve"> </w:t>
      </w:r>
    </w:p>
    <w:p w14:paraId="062DDD2D" w14:textId="500DBFBD" w:rsidR="00F96DB5" w:rsidRPr="00436978" w:rsidRDefault="00F96DB5" w:rsidP="00F96DB5">
      <w:pPr>
        <w:rPr>
          <w:rFonts w:ascii="Arial" w:hAnsi="Arial" w:cs="Arial"/>
          <w:sz w:val="22"/>
          <w:szCs w:val="22"/>
        </w:rPr>
      </w:pPr>
      <w:r w:rsidRPr="00436978">
        <w:rPr>
          <w:rFonts w:ascii="Arial" w:hAnsi="Arial" w:cs="Arial"/>
          <w:sz w:val="22"/>
          <w:szCs w:val="22"/>
        </w:rPr>
        <w:t>Les statistiques descriptives (moyenne, médiane, écart-type) ont été calculées sur les données brutes.</w:t>
      </w:r>
    </w:p>
    <w:p w14:paraId="4A147BE4" w14:textId="18E61A12" w:rsidR="006A79AB" w:rsidRDefault="006A79AB" w:rsidP="006A79AB">
      <w:r w:rsidRPr="006A79AB">
        <w:drawing>
          <wp:inline distT="0" distB="0" distL="0" distR="0" wp14:anchorId="132C346B" wp14:editId="1A470B95">
            <wp:extent cx="6645910" cy="1123950"/>
            <wp:effectExtent l="0" t="0" r="2540" b="0"/>
            <wp:docPr id="784988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88548" name=""/>
                    <pic:cNvPicPr/>
                  </pic:nvPicPr>
                  <pic:blipFill>
                    <a:blip r:embed="rId8"/>
                    <a:stretch>
                      <a:fillRect/>
                    </a:stretch>
                  </pic:blipFill>
                  <pic:spPr>
                    <a:xfrm>
                      <a:off x="0" y="0"/>
                      <a:ext cx="6645910" cy="1123950"/>
                    </a:xfrm>
                    <a:prstGeom prst="rect">
                      <a:avLst/>
                    </a:prstGeom>
                  </pic:spPr>
                </pic:pic>
              </a:graphicData>
            </a:graphic>
          </wp:inline>
        </w:drawing>
      </w:r>
    </w:p>
    <w:p w14:paraId="77940E86" w14:textId="49749788" w:rsidR="006A79AB" w:rsidRPr="00436978" w:rsidRDefault="00F96DB5" w:rsidP="006A79AB">
      <w:pPr>
        <w:rPr>
          <w:rFonts w:ascii="Arial" w:hAnsi="Arial" w:cs="Arial"/>
          <w:sz w:val="22"/>
          <w:szCs w:val="22"/>
        </w:rPr>
      </w:pPr>
      <w:r w:rsidRPr="00436978">
        <w:rPr>
          <w:rFonts w:ascii="Arial" w:hAnsi="Arial" w:cs="Arial"/>
          <w:sz w:val="22"/>
          <w:szCs w:val="22"/>
        </w:rPr>
        <w:t>La dispersion des données est mesurée par le Coefficient de Variation (CV = écart-type / moyenne × 100), qui permet de comparer la variabilité de variables exprimées dans des unités différentes.</w:t>
      </w:r>
    </w:p>
    <w:p w14:paraId="16C7C603" w14:textId="58AE14EC" w:rsidR="00F96DB5" w:rsidRPr="00436978" w:rsidRDefault="00F96DB5" w:rsidP="00F96DB5">
      <w:pPr>
        <w:rPr>
          <w:rFonts w:ascii="Arial" w:hAnsi="Arial" w:cs="Arial"/>
          <w:b/>
          <w:bCs/>
          <w:sz w:val="22"/>
          <w:szCs w:val="22"/>
        </w:rPr>
      </w:pPr>
      <w:r w:rsidRPr="00436978">
        <w:rPr>
          <w:rFonts w:ascii="Arial" w:hAnsi="Arial" w:cs="Arial"/>
          <w:b/>
          <w:bCs/>
          <w:sz w:val="22"/>
          <w:szCs w:val="22"/>
        </w:rPr>
        <w:t>--- Coefficient de Variation (%) ---</w:t>
      </w:r>
    </w:p>
    <w:p w14:paraId="09041744" w14:textId="77777777" w:rsidR="00F96DB5" w:rsidRPr="00436978" w:rsidRDefault="00F96DB5" w:rsidP="00F96DB5">
      <w:pPr>
        <w:pStyle w:val="PargrafodaLista"/>
        <w:numPr>
          <w:ilvl w:val="0"/>
          <w:numId w:val="6"/>
        </w:numPr>
        <w:rPr>
          <w:rFonts w:ascii="Arial" w:hAnsi="Arial" w:cs="Arial"/>
          <w:sz w:val="22"/>
          <w:szCs w:val="22"/>
        </w:rPr>
      </w:pPr>
      <w:r w:rsidRPr="00436978">
        <w:rPr>
          <w:rFonts w:ascii="Arial" w:hAnsi="Arial" w:cs="Arial"/>
          <w:sz w:val="22"/>
          <w:szCs w:val="22"/>
        </w:rPr>
        <w:t>pib_per_capita: 35.57%</w:t>
      </w:r>
    </w:p>
    <w:p w14:paraId="7CFD4BB0" w14:textId="77777777" w:rsidR="00F96DB5" w:rsidRPr="00436978" w:rsidRDefault="00F96DB5" w:rsidP="00F96DB5">
      <w:pPr>
        <w:pStyle w:val="PargrafodaLista"/>
        <w:numPr>
          <w:ilvl w:val="0"/>
          <w:numId w:val="6"/>
        </w:numPr>
        <w:rPr>
          <w:rFonts w:ascii="Arial" w:hAnsi="Arial" w:cs="Arial"/>
          <w:sz w:val="22"/>
          <w:szCs w:val="22"/>
        </w:rPr>
      </w:pPr>
      <w:r w:rsidRPr="00436978">
        <w:rPr>
          <w:rFonts w:ascii="Arial" w:hAnsi="Arial" w:cs="Arial"/>
          <w:sz w:val="22"/>
          <w:szCs w:val="22"/>
        </w:rPr>
        <w:t>dette_publique: 51.60%</w:t>
      </w:r>
    </w:p>
    <w:p w14:paraId="6EB69312" w14:textId="1C4DA3CA" w:rsidR="00F96DB5" w:rsidRPr="00436978" w:rsidRDefault="00F96DB5" w:rsidP="00F96DB5">
      <w:pPr>
        <w:pStyle w:val="PargrafodaLista"/>
        <w:numPr>
          <w:ilvl w:val="0"/>
          <w:numId w:val="6"/>
        </w:numPr>
        <w:rPr>
          <w:rFonts w:ascii="Arial" w:hAnsi="Arial" w:cs="Arial"/>
          <w:sz w:val="22"/>
          <w:szCs w:val="22"/>
        </w:rPr>
      </w:pPr>
      <w:r w:rsidRPr="00436978">
        <w:rPr>
          <w:rFonts w:ascii="Arial" w:hAnsi="Arial" w:cs="Arial"/>
          <w:sz w:val="22"/>
          <w:szCs w:val="22"/>
        </w:rPr>
        <w:t>chomage: 36.55%</w:t>
      </w:r>
    </w:p>
    <w:p w14:paraId="0224B8D6" w14:textId="1744797A" w:rsidR="006A79AB" w:rsidRDefault="006A79AB" w:rsidP="003C58C3">
      <w:pPr>
        <w:pStyle w:val="Ttulo1"/>
      </w:pPr>
      <w:r>
        <w:lastRenderedPageBreak/>
        <w:t>Corrélation</w:t>
      </w:r>
    </w:p>
    <w:p w14:paraId="38527A9D" w14:textId="06FDC99A" w:rsidR="00E601A6" w:rsidRPr="00436978" w:rsidRDefault="00E601A6" w:rsidP="00E601A6">
      <w:pPr>
        <w:rPr>
          <w:rFonts w:ascii="Arial" w:hAnsi="Arial" w:cs="Arial"/>
          <w:sz w:val="22"/>
          <w:szCs w:val="22"/>
        </w:rPr>
      </w:pPr>
      <w:r w:rsidRPr="00436978">
        <w:rPr>
          <w:rFonts w:ascii="Arial" w:hAnsi="Arial" w:cs="Arial"/>
          <w:sz w:val="22"/>
          <w:szCs w:val="22"/>
        </w:rPr>
        <w:t xml:space="preserve">La matrice de corrélation de Pearson (calculée sur les variables originales, avant normalisation) permet d'identifier les paires de variables évoluant </w:t>
      </w:r>
      <w:r w:rsidRPr="00436978">
        <w:rPr>
          <w:rFonts w:ascii="Arial" w:hAnsi="Arial" w:cs="Arial"/>
          <w:sz w:val="22"/>
          <w:szCs w:val="22"/>
        </w:rPr>
        <w:t>ensemble</w:t>
      </w:r>
      <w:r w:rsidRPr="00436978">
        <w:rPr>
          <w:rFonts w:ascii="Arial" w:hAnsi="Arial" w:cs="Arial"/>
          <w:sz w:val="22"/>
          <w:szCs w:val="22"/>
        </w:rPr>
        <w:t xml:space="preserve">. </w:t>
      </w:r>
    </w:p>
    <w:p w14:paraId="5D06D20E" w14:textId="6BEE9F3D" w:rsidR="006A79AB" w:rsidRDefault="006A79AB" w:rsidP="006A79AB">
      <w:r>
        <w:rPr>
          <w:noProof/>
        </w:rPr>
        <w:drawing>
          <wp:inline distT="0" distB="0" distL="0" distR="0" wp14:anchorId="3C5FCCC3" wp14:editId="21CBF4A2">
            <wp:extent cx="6645910" cy="5982970"/>
            <wp:effectExtent l="0" t="0" r="2540" b="0"/>
            <wp:docPr id="15924205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20521" name="Imagem 1592420521"/>
                    <pic:cNvPicPr/>
                  </pic:nvPicPr>
                  <pic:blipFill>
                    <a:blip r:embed="rId9">
                      <a:extLst>
                        <a:ext uri="{28A0092B-C50C-407E-A947-70E740481C1C}">
                          <a14:useLocalDpi xmlns:a14="http://schemas.microsoft.com/office/drawing/2010/main" val="0"/>
                        </a:ext>
                      </a:extLst>
                    </a:blip>
                    <a:stretch>
                      <a:fillRect/>
                    </a:stretch>
                  </pic:blipFill>
                  <pic:spPr>
                    <a:xfrm>
                      <a:off x="0" y="0"/>
                      <a:ext cx="6645910" cy="5982970"/>
                    </a:xfrm>
                    <a:prstGeom prst="rect">
                      <a:avLst/>
                    </a:prstGeom>
                  </pic:spPr>
                </pic:pic>
              </a:graphicData>
            </a:graphic>
          </wp:inline>
        </w:drawing>
      </w:r>
    </w:p>
    <w:p w14:paraId="512BCDB2" w14:textId="77777777" w:rsidR="00E601A6" w:rsidRPr="00436978" w:rsidRDefault="00E601A6" w:rsidP="00436978">
      <w:pPr>
        <w:pStyle w:val="Ttulo2"/>
        <w:rPr>
          <w:b/>
          <w:bCs/>
          <w:color w:val="auto"/>
        </w:rPr>
      </w:pPr>
      <w:r w:rsidRPr="00436978">
        <w:rPr>
          <w:b/>
          <w:bCs/>
          <w:color w:val="auto"/>
        </w:rPr>
        <w:t>Un coefficient |r| ≥ 0,70 est retenu comme seuil de corrélation forte.</w:t>
      </w:r>
    </w:p>
    <w:tbl>
      <w:tblPr>
        <w:tblStyle w:val="Tabelacomgrade"/>
        <w:tblW w:w="10488" w:type="dxa"/>
        <w:tblLook w:val="04A0" w:firstRow="1" w:lastRow="0" w:firstColumn="1" w:lastColumn="0" w:noHBand="0" w:noVBand="1"/>
      </w:tblPr>
      <w:tblGrid>
        <w:gridCol w:w="3496"/>
        <w:gridCol w:w="3496"/>
        <w:gridCol w:w="3496"/>
      </w:tblGrid>
      <w:tr w:rsidR="00E601A6" w14:paraId="072660F4" w14:textId="77777777" w:rsidTr="00E601A6">
        <w:trPr>
          <w:trHeight w:val="402"/>
        </w:trPr>
        <w:tc>
          <w:tcPr>
            <w:tcW w:w="3496" w:type="dxa"/>
          </w:tcPr>
          <w:p w14:paraId="5296A1DB" w14:textId="6E026645" w:rsidR="00E601A6" w:rsidRDefault="00E601A6" w:rsidP="006A79AB">
            <w:r w:rsidRPr="00E601A6">
              <w:t>depenses_logement</w:t>
            </w:r>
          </w:p>
        </w:tc>
        <w:tc>
          <w:tcPr>
            <w:tcW w:w="3496" w:type="dxa"/>
          </w:tcPr>
          <w:p w14:paraId="77CC3E59" w14:textId="2C200EC2" w:rsidR="00E601A6" w:rsidRDefault="00E601A6" w:rsidP="006A79AB">
            <w:r w:rsidRPr="00E601A6">
              <w:t>privation_materielle</w:t>
            </w:r>
          </w:p>
        </w:tc>
        <w:tc>
          <w:tcPr>
            <w:tcW w:w="3496" w:type="dxa"/>
          </w:tcPr>
          <w:p w14:paraId="7180DCD5" w14:textId="73C21374" w:rsidR="00E601A6" w:rsidRDefault="00E601A6" w:rsidP="006A79AB">
            <w:r w:rsidRPr="00E601A6">
              <w:t>0.836028</w:t>
            </w:r>
          </w:p>
        </w:tc>
      </w:tr>
      <w:tr w:rsidR="00E601A6" w14:paraId="196B19C5" w14:textId="77777777" w:rsidTr="00E601A6">
        <w:trPr>
          <w:trHeight w:val="402"/>
        </w:trPr>
        <w:tc>
          <w:tcPr>
            <w:tcW w:w="3496" w:type="dxa"/>
          </w:tcPr>
          <w:p w14:paraId="66621CEC" w14:textId="4D341ECF" w:rsidR="00E601A6" w:rsidRDefault="00E601A6" w:rsidP="006A79AB">
            <w:r w:rsidRPr="00E601A6">
              <w:t>pib_per_capita</w:t>
            </w:r>
          </w:p>
        </w:tc>
        <w:tc>
          <w:tcPr>
            <w:tcW w:w="3496" w:type="dxa"/>
          </w:tcPr>
          <w:p w14:paraId="5CFC70FC" w14:textId="3214F7FF" w:rsidR="00E601A6" w:rsidRDefault="00E601A6" w:rsidP="006A79AB">
            <w:r w:rsidRPr="00E601A6">
              <w:t>salaire_median</w:t>
            </w:r>
          </w:p>
        </w:tc>
        <w:tc>
          <w:tcPr>
            <w:tcW w:w="3496" w:type="dxa"/>
          </w:tcPr>
          <w:p w14:paraId="5B8758EC" w14:textId="33622480" w:rsidR="00E601A6" w:rsidRDefault="00E601A6" w:rsidP="006A79AB">
            <w:r w:rsidRPr="00E601A6">
              <w:t>0.834904</w:t>
            </w:r>
          </w:p>
        </w:tc>
      </w:tr>
      <w:tr w:rsidR="00E601A6" w14:paraId="577CD0EC" w14:textId="77777777" w:rsidTr="00E601A6">
        <w:trPr>
          <w:trHeight w:val="419"/>
        </w:trPr>
        <w:tc>
          <w:tcPr>
            <w:tcW w:w="3496" w:type="dxa"/>
          </w:tcPr>
          <w:p w14:paraId="3CC855D6" w14:textId="599890E0" w:rsidR="00E601A6" w:rsidRDefault="00E601A6" w:rsidP="006A79AB">
            <w:r w:rsidRPr="00E601A6">
              <w:t>depenses_logement</w:t>
            </w:r>
          </w:p>
        </w:tc>
        <w:tc>
          <w:tcPr>
            <w:tcW w:w="3496" w:type="dxa"/>
          </w:tcPr>
          <w:p w14:paraId="6C91C037" w14:textId="58DDB9AF" w:rsidR="00E601A6" w:rsidRDefault="00E601A6" w:rsidP="006A79AB">
            <w:r w:rsidRPr="00E601A6">
              <w:t>IDH</w:t>
            </w:r>
          </w:p>
        </w:tc>
        <w:tc>
          <w:tcPr>
            <w:tcW w:w="3496" w:type="dxa"/>
          </w:tcPr>
          <w:p w14:paraId="2E87F724" w14:textId="76402D75" w:rsidR="00E601A6" w:rsidRDefault="00E601A6" w:rsidP="006A79AB">
            <w:r w:rsidRPr="00E601A6">
              <w:t>-0.812711</w:t>
            </w:r>
          </w:p>
        </w:tc>
      </w:tr>
      <w:tr w:rsidR="00E601A6" w14:paraId="2C5BC9A5" w14:textId="77777777" w:rsidTr="00E601A6">
        <w:trPr>
          <w:trHeight w:val="402"/>
        </w:trPr>
        <w:tc>
          <w:tcPr>
            <w:tcW w:w="3496" w:type="dxa"/>
          </w:tcPr>
          <w:p w14:paraId="6A67E159" w14:textId="675E484B" w:rsidR="00E601A6" w:rsidRDefault="00E601A6" w:rsidP="006A79AB">
            <w:r w:rsidRPr="00E601A6">
              <w:t>pauvrete</w:t>
            </w:r>
          </w:p>
        </w:tc>
        <w:tc>
          <w:tcPr>
            <w:tcW w:w="3496" w:type="dxa"/>
          </w:tcPr>
          <w:p w14:paraId="2E3CF796" w14:textId="438163ED" w:rsidR="00E601A6" w:rsidRDefault="00E601A6" w:rsidP="006A79AB">
            <w:r w:rsidRPr="00E601A6">
              <w:t>privation_materielle</w:t>
            </w:r>
          </w:p>
        </w:tc>
        <w:tc>
          <w:tcPr>
            <w:tcW w:w="3496" w:type="dxa"/>
          </w:tcPr>
          <w:p w14:paraId="73F310AD" w14:textId="118C08CF" w:rsidR="00E601A6" w:rsidRDefault="00E601A6" w:rsidP="006A79AB">
            <w:r w:rsidRPr="00E601A6">
              <w:t>0.750666</w:t>
            </w:r>
          </w:p>
        </w:tc>
      </w:tr>
      <w:tr w:rsidR="00E601A6" w14:paraId="6D35D2FE" w14:textId="77777777" w:rsidTr="00E601A6">
        <w:trPr>
          <w:trHeight w:val="402"/>
        </w:trPr>
        <w:tc>
          <w:tcPr>
            <w:tcW w:w="3496" w:type="dxa"/>
          </w:tcPr>
          <w:p w14:paraId="585393E9" w14:textId="36AB36DE" w:rsidR="00E601A6" w:rsidRDefault="00E601A6" w:rsidP="006A79AB">
            <w:r w:rsidRPr="00E601A6">
              <w:t>gini</w:t>
            </w:r>
          </w:p>
        </w:tc>
        <w:tc>
          <w:tcPr>
            <w:tcW w:w="3496" w:type="dxa"/>
          </w:tcPr>
          <w:p w14:paraId="195E2ABD" w14:textId="73EF9CA8" w:rsidR="00E601A6" w:rsidRDefault="00E601A6" w:rsidP="006A79AB">
            <w:r w:rsidRPr="00E601A6">
              <w:t>privation_materielle</w:t>
            </w:r>
          </w:p>
        </w:tc>
        <w:tc>
          <w:tcPr>
            <w:tcW w:w="3496" w:type="dxa"/>
          </w:tcPr>
          <w:p w14:paraId="4C9A4703" w14:textId="0652FB93" w:rsidR="00E601A6" w:rsidRDefault="00E601A6" w:rsidP="006A79AB">
            <w:r w:rsidRPr="00E601A6">
              <w:t>0.741341</w:t>
            </w:r>
          </w:p>
        </w:tc>
      </w:tr>
      <w:tr w:rsidR="00E601A6" w14:paraId="08BC13A3" w14:textId="77777777" w:rsidTr="00E601A6">
        <w:trPr>
          <w:trHeight w:val="402"/>
        </w:trPr>
        <w:tc>
          <w:tcPr>
            <w:tcW w:w="3496" w:type="dxa"/>
          </w:tcPr>
          <w:p w14:paraId="44EC493E" w14:textId="146544C2" w:rsidR="00E601A6" w:rsidRDefault="00E601A6" w:rsidP="006A79AB">
            <w:r w:rsidRPr="00E601A6">
              <w:t>pib_per_capita</w:t>
            </w:r>
          </w:p>
        </w:tc>
        <w:tc>
          <w:tcPr>
            <w:tcW w:w="3496" w:type="dxa"/>
          </w:tcPr>
          <w:p w14:paraId="37C2A9D0" w14:textId="0AB5A7B4" w:rsidR="00E601A6" w:rsidRDefault="00E601A6" w:rsidP="006A79AB">
            <w:r w:rsidRPr="00E601A6">
              <w:t>depenses_logement</w:t>
            </w:r>
          </w:p>
        </w:tc>
        <w:tc>
          <w:tcPr>
            <w:tcW w:w="3496" w:type="dxa"/>
          </w:tcPr>
          <w:p w14:paraId="41F965AE" w14:textId="430CCD61" w:rsidR="00E601A6" w:rsidRDefault="00E601A6" w:rsidP="006A79AB">
            <w:r w:rsidRPr="00E601A6">
              <w:t>-0.740086</w:t>
            </w:r>
          </w:p>
        </w:tc>
      </w:tr>
      <w:tr w:rsidR="00E601A6" w14:paraId="0B7C9FB8" w14:textId="77777777" w:rsidTr="00E601A6">
        <w:trPr>
          <w:trHeight w:val="419"/>
        </w:trPr>
        <w:tc>
          <w:tcPr>
            <w:tcW w:w="3496" w:type="dxa"/>
          </w:tcPr>
          <w:p w14:paraId="62313CE4" w14:textId="6E2A1D69" w:rsidR="00E601A6" w:rsidRDefault="00E601A6" w:rsidP="006A79AB">
            <w:r w:rsidRPr="00E601A6">
              <w:t>pauvrete</w:t>
            </w:r>
          </w:p>
        </w:tc>
        <w:tc>
          <w:tcPr>
            <w:tcW w:w="3496" w:type="dxa"/>
          </w:tcPr>
          <w:p w14:paraId="15F9E5A6" w14:textId="72E735DF" w:rsidR="00E601A6" w:rsidRDefault="00E601A6" w:rsidP="006A79AB">
            <w:r w:rsidRPr="00E601A6">
              <w:t>depenses_logement</w:t>
            </w:r>
          </w:p>
        </w:tc>
        <w:tc>
          <w:tcPr>
            <w:tcW w:w="3496" w:type="dxa"/>
          </w:tcPr>
          <w:p w14:paraId="2EEBDD95" w14:textId="3FDDE823" w:rsidR="00E601A6" w:rsidRDefault="00E601A6" w:rsidP="006A79AB">
            <w:r w:rsidRPr="00E601A6">
              <w:t>0.716998</w:t>
            </w:r>
          </w:p>
        </w:tc>
      </w:tr>
      <w:tr w:rsidR="00E601A6" w14:paraId="418B2F62" w14:textId="77777777" w:rsidTr="00E601A6">
        <w:trPr>
          <w:trHeight w:val="402"/>
        </w:trPr>
        <w:tc>
          <w:tcPr>
            <w:tcW w:w="3496" w:type="dxa"/>
          </w:tcPr>
          <w:p w14:paraId="4B0F6034" w14:textId="528BF103" w:rsidR="00E601A6" w:rsidRDefault="00E601A6" w:rsidP="006A79AB">
            <w:r w:rsidRPr="00E601A6">
              <w:t>salaire_median</w:t>
            </w:r>
          </w:p>
        </w:tc>
        <w:tc>
          <w:tcPr>
            <w:tcW w:w="3496" w:type="dxa"/>
          </w:tcPr>
          <w:p w14:paraId="27EA863B" w14:textId="652EB709" w:rsidR="00E601A6" w:rsidRDefault="00E601A6" w:rsidP="006A79AB">
            <w:r w:rsidRPr="00E601A6">
              <w:t>depenses_logement</w:t>
            </w:r>
          </w:p>
        </w:tc>
        <w:tc>
          <w:tcPr>
            <w:tcW w:w="3496" w:type="dxa"/>
          </w:tcPr>
          <w:p w14:paraId="6B2C4904" w14:textId="530E21AA" w:rsidR="00E601A6" w:rsidRDefault="00E601A6" w:rsidP="006A79AB">
            <w:r w:rsidRPr="00E601A6">
              <w:t>-0.705807</w:t>
            </w:r>
          </w:p>
        </w:tc>
      </w:tr>
    </w:tbl>
    <w:p w14:paraId="3524C2BB" w14:textId="37BCC2B6" w:rsidR="006A79AB" w:rsidRDefault="006A79AB" w:rsidP="006A79AB"/>
    <w:p w14:paraId="338EC96A" w14:textId="77777777" w:rsidR="0089729C" w:rsidRDefault="0089729C" w:rsidP="006A79AB">
      <w:pPr>
        <w:rPr>
          <w:rFonts w:asciiTheme="majorHAnsi" w:eastAsiaTheme="majorEastAsia" w:hAnsiTheme="majorHAnsi" w:cstheme="majorBidi"/>
          <w:sz w:val="40"/>
          <w:szCs w:val="40"/>
        </w:rPr>
      </w:pPr>
      <w:r w:rsidRPr="0089729C">
        <w:rPr>
          <w:rFonts w:asciiTheme="majorHAnsi" w:eastAsiaTheme="majorEastAsia" w:hAnsiTheme="majorHAnsi" w:cstheme="majorBidi"/>
          <w:sz w:val="40"/>
          <w:szCs w:val="40"/>
        </w:rPr>
        <w:lastRenderedPageBreak/>
        <w:t>Segmentation par Clustering K-Means</w:t>
      </w:r>
      <w:r w:rsidRPr="0089729C">
        <w:rPr>
          <w:rFonts w:asciiTheme="majorHAnsi" w:eastAsiaTheme="majorEastAsia" w:hAnsiTheme="majorHAnsi" w:cstheme="majorBidi"/>
          <w:sz w:val="40"/>
          <w:szCs w:val="40"/>
        </w:rPr>
        <w:t xml:space="preserve"> </w:t>
      </w:r>
    </w:p>
    <w:p w14:paraId="16273D62" w14:textId="59C49DFE" w:rsidR="0089729C" w:rsidRPr="0089729C" w:rsidRDefault="0089729C" w:rsidP="0089729C">
      <w:pPr>
        <w:pStyle w:val="Ttulo2"/>
        <w:rPr>
          <w:b/>
          <w:bCs/>
          <w:color w:val="auto"/>
        </w:rPr>
      </w:pPr>
      <w:r w:rsidRPr="0089729C">
        <w:rPr>
          <w:b/>
          <w:bCs/>
          <w:color w:val="auto"/>
        </w:rPr>
        <w:t>Détermination du nombre optimal de clusters</w:t>
      </w:r>
    </w:p>
    <w:p w14:paraId="39872673" w14:textId="3D964017" w:rsidR="0089729C" w:rsidRPr="00436978" w:rsidRDefault="0089729C" w:rsidP="00436978">
      <w:pPr>
        <w:jc w:val="both"/>
        <w:rPr>
          <w:rFonts w:ascii="Arial" w:hAnsi="Arial" w:cs="Arial"/>
          <w:sz w:val="22"/>
          <w:szCs w:val="22"/>
        </w:rPr>
      </w:pPr>
      <w:r w:rsidRPr="00436978">
        <w:rPr>
          <w:rFonts w:ascii="Arial" w:hAnsi="Arial" w:cs="Arial"/>
          <w:sz w:val="22"/>
          <w:szCs w:val="22"/>
        </w:rPr>
        <w:t xml:space="preserve">L'algorithme K-Means requiert que le nombre de groupes (k) soit défini a priori. Pour le choisir objectivement, la méthode du coude (Elbow Method) a été appliquée : le modèle est exécuté pour k allant de 1 à 10, et l'inertie interne (somme des distances au centroïde) est relevée à chaque itération. Le coude de la courbe </w:t>
      </w:r>
      <w:r w:rsidRPr="00436978">
        <w:rPr>
          <w:rFonts w:ascii="Arial" w:hAnsi="Arial" w:cs="Arial"/>
          <w:sz w:val="22"/>
          <w:szCs w:val="22"/>
        </w:rPr>
        <w:t>(</w:t>
      </w:r>
      <w:r w:rsidRPr="00436978">
        <w:rPr>
          <w:rFonts w:ascii="Arial" w:hAnsi="Arial" w:cs="Arial"/>
          <w:sz w:val="22"/>
          <w:szCs w:val="22"/>
        </w:rPr>
        <w:t>point à partir duquel l'inertie décroît moins rapidement</w:t>
      </w:r>
      <w:r w:rsidRPr="00436978">
        <w:rPr>
          <w:rFonts w:ascii="Arial" w:hAnsi="Arial" w:cs="Arial"/>
          <w:sz w:val="22"/>
          <w:szCs w:val="22"/>
        </w:rPr>
        <w:t>)</w:t>
      </w:r>
      <w:r w:rsidRPr="00436978">
        <w:rPr>
          <w:rFonts w:ascii="Arial" w:hAnsi="Arial" w:cs="Arial"/>
          <w:sz w:val="22"/>
          <w:szCs w:val="22"/>
        </w:rPr>
        <w:t xml:space="preserve"> indique le k optimal</w:t>
      </w:r>
      <w:r w:rsidRPr="00436978">
        <w:rPr>
          <w:rFonts w:ascii="Arial" w:hAnsi="Arial" w:cs="Arial"/>
          <w:sz w:val="22"/>
          <w:szCs w:val="22"/>
        </w:rPr>
        <w:t>.</w:t>
      </w:r>
    </w:p>
    <w:p w14:paraId="0712BF48" w14:textId="61AFE270" w:rsidR="006A79AB" w:rsidRDefault="006A79AB" w:rsidP="006A79AB">
      <w:r>
        <w:rPr>
          <w:noProof/>
        </w:rPr>
        <w:drawing>
          <wp:inline distT="0" distB="0" distL="0" distR="0" wp14:anchorId="493CD77B" wp14:editId="617C0019">
            <wp:extent cx="5179367" cy="3550920"/>
            <wp:effectExtent l="0" t="0" r="2540" b="0"/>
            <wp:docPr id="191944572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45725" name="Imagem 1919445725"/>
                    <pic:cNvPicPr/>
                  </pic:nvPicPr>
                  <pic:blipFill>
                    <a:blip r:embed="rId10">
                      <a:extLst>
                        <a:ext uri="{28A0092B-C50C-407E-A947-70E740481C1C}">
                          <a14:useLocalDpi xmlns:a14="http://schemas.microsoft.com/office/drawing/2010/main" val="0"/>
                        </a:ext>
                      </a:extLst>
                    </a:blip>
                    <a:stretch>
                      <a:fillRect/>
                    </a:stretch>
                  </pic:blipFill>
                  <pic:spPr>
                    <a:xfrm>
                      <a:off x="0" y="0"/>
                      <a:ext cx="5183386" cy="3553676"/>
                    </a:xfrm>
                    <a:prstGeom prst="rect">
                      <a:avLst/>
                    </a:prstGeom>
                  </pic:spPr>
                </pic:pic>
              </a:graphicData>
            </a:graphic>
          </wp:inline>
        </w:drawing>
      </w:r>
    </w:p>
    <w:p w14:paraId="18FD6DB3" w14:textId="016B5DE5" w:rsidR="006A79AB" w:rsidRPr="00436978" w:rsidRDefault="0089729C" w:rsidP="00436978">
      <w:pPr>
        <w:jc w:val="both"/>
        <w:rPr>
          <w:rFonts w:ascii="Arial" w:hAnsi="Arial" w:cs="Arial"/>
          <w:sz w:val="22"/>
          <w:szCs w:val="22"/>
        </w:rPr>
      </w:pPr>
      <w:r w:rsidRPr="00436978">
        <w:rPr>
          <w:rFonts w:ascii="Arial" w:hAnsi="Arial" w:cs="Arial"/>
          <w:sz w:val="22"/>
          <w:szCs w:val="22"/>
        </w:rPr>
        <w:t>Le coude à k = 3 conduit à retenir trois clusters, correspondant à trois profils économiques distincts au sein de la zone euro.</w:t>
      </w:r>
    </w:p>
    <w:p w14:paraId="39F308DB" w14:textId="432627B4" w:rsidR="0089729C" w:rsidRDefault="0089729C" w:rsidP="0089729C">
      <w:pPr>
        <w:pStyle w:val="Ttulo2"/>
        <w:rPr>
          <w:b/>
          <w:bCs/>
          <w:color w:val="auto"/>
        </w:rPr>
      </w:pPr>
      <w:r w:rsidRPr="0089729C">
        <w:rPr>
          <w:b/>
          <w:bCs/>
          <w:color w:val="auto"/>
        </w:rPr>
        <w:t>Résultats : trois profils économiques</w:t>
      </w:r>
    </w:p>
    <w:p w14:paraId="0E4F1EC2" w14:textId="1E990760" w:rsidR="0089729C" w:rsidRPr="00436978" w:rsidRDefault="0089729C" w:rsidP="00436978">
      <w:pPr>
        <w:jc w:val="both"/>
        <w:rPr>
          <w:rFonts w:ascii="Arial" w:hAnsi="Arial" w:cs="Arial"/>
          <w:sz w:val="22"/>
          <w:szCs w:val="22"/>
        </w:rPr>
      </w:pPr>
      <w:r w:rsidRPr="00436978">
        <w:rPr>
          <w:rFonts w:ascii="Arial" w:hAnsi="Arial" w:cs="Arial"/>
          <w:sz w:val="22"/>
          <w:szCs w:val="22"/>
        </w:rPr>
        <w:t>L'algorithme K-Means appliqué sur les 12 variables normalisées identifie les trois groupes suivants :</w:t>
      </w:r>
    </w:p>
    <w:p w14:paraId="58682C74" w14:textId="32F2189B" w:rsidR="0089729C" w:rsidRPr="00436978" w:rsidRDefault="0089729C" w:rsidP="00436978">
      <w:pPr>
        <w:pStyle w:val="PargrafodaLista"/>
        <w:numPr>
          <w:ilvl w:val="0"/>
          <w:numId w:val="9"/>
        </w:numPr>
        <w:jc w:val="both"/>
        <w:rPr>
          <w:rFonts w:ascii="Arial" w:hAnsi="Arial" w:cs="Arial"/>
          <w:sz w:val="22"/>
          <w:szCs w:val="22"/>
        </w:rPr>
      </w:pPr>
      <w:r w:rsidRPr="00436978">
        <w:rPr>
          <w:rFonts w:ascii="Arial" w:hAnsi="Arial" w:cs="Arial"/>
          <w:b/>
          <w:bCs/>
          <w:sz w:val="22"/>
          <w:szCs w:val="22"/>
        </w:rPr>
        <w:t>Cluster 1</w:t>
      </w:r>
      <w:r w:rsidRPr="00436978">
        <w:rPr>
          <w:rFonts w:ascii="Arial" w:hAnsi="Arial" w:cs="Arial"/>
          <w:b/>
          <w:bCs/>
          <w:sz w:val="22"/>
          <w:szCs w:val="22"/>
        </w:rPr>
        <w:t xml:space="preserve"> : </w:t>
      </w:r>
      <w:r w:rsidRPr="00436978">
        <w:rPr>
          <w:rFonts w:ascii="Arial" w:hAnsi="Arial" w:cs="Arial"/>
          <w:b/>
          <w:bCs/>
          <w:sz w:val="22"/>
          <w:szCs w:val="22"/>
        </w:rPr>
        <w:t>Économies de Haut Niveau (Leaders) :</w:t>
      </w:r>
      <w:r w:rsidR="00436978" w:rsidRPr="00436978">
        <w:rPr>
          <w:rFonts w:ascii="Arial" w:hAnsi="Arial" w:cs="Arial"/>
          <w:b/>
          <w:bCs/>
          <w:sz w:val="22"/>
          <w:szCs w:val="22"/>
        </w:rPr>
        <w:t xml:space="preserve"> </w:t>
      </w:r>
      <w:r w:rsidRPr="00436978">
        <w:rPr>
          <w:rFonts w:ascii="Arial" w:hAnsi="Arial" w:cs="Arial"/>
          <w:sz w:val="22"/>
          <w:szCs w:val="22"/>
        </w:rPr>
        <w:t>Luxembourg, Irlande, Pays-Bas, Allemagne, Autriche, Belgique, Finlande, France</w:t>
      </w:r>
    </w:p>
    <w:p w14:paraId="67711CF5" w14:textId="78C547E2" w:rsidR="0089729C" w:rsidRPr="00436978" w:rsidRDefault="0089729C" w:rsidP="00436978">
      <w:pPr>
        <w:pStyle w:val="PargrafodaLista"/>
        <w:numPr>
          <w:ilvl w:val="0"/>
          <w:numId w:val="9"/>
        </w:numPr>
        <w:jc w:val="both"/>
        <w:rPr>
          <w:rFonts w:ascii="Arial" w:hAnsi="Arial" w:cs="Arial"/>
          <w:sz w:val="22"/>
          <w:szCs w:val="22"/>
        </w:rPr>
      </w:pPr>
      <w:r w:rsidRPr="00436978">
        <w:rPr>
          <w:rFonts w:ascii="Arial" w:hAnsi="Arial" w:cs="Arial"/>
          <w:b/>
          <w:bCs/>
          <w:sz w:val="22"/>
          <w:szCs w:val="22"/>
        </w:rPr>
        <w:t>Cluster 2</w:t>
      </w:r>
      <w:r w:rsidRPr="00436978">
        <w:rPr>
          <w:rFonts w:ascii="Arial" w:hAnsi="Arial" w:cs="Arial"/>
          <w:b/>
          <w:bCs/>
          <w:sz w:val="22"/>
          <w:szCs w:val="22"/>
        </w:rPr>
        <w:t> :</w:t>
      </w:r>
      <w:r w:rsidRPr="00436978">
        <w:rPr>
          <w:rFonts w:ascii="Arial" w:hAnsi="Arial" w:cs="Arial"/>
          <w:b/>
          <w:bCs/>
          <w:sz w:val="22"/>
          <w:szCs w:val="22"/>
        </w:rPr>
        <w:t xml:space="preserve"> Économies Intermédiaires (Transition) :</w:t>
      </w:r>
      <w:r w:rsidR="00436978" w:rsidRPr="00436978">
        <w:rPr>
          <w:rFonts w:ascii="Arial" w:hAnsi="Arial" w:cs="Arial"/>
          <w:b/>
          <w:bCs/>
          <w:sz w:val="22"/>
          <w:szCs w:val="22"/>
        </w:rPr>
        <w:t xml:space="preserve"> </w:t>
      </w:r>
      <w:r w:rsidRPr="00436978">
        <w:rPr>
          <w:rFonts w:ascii="Arial" w:hAnsi="Arial" w:cs="Arial"/>
          <w:sz w:val="22"/>
          <w:szCs w:val="22"/>
        </w:rPr>
        <w:t>Malte, Italie, Espagne, Slovénie, Chypre, Portugal, Lituanie</w:t>
      </w:r>
    </w:p>
    <w:p w14:paraId="442E8E41" w14:textId="132BEC0C" w:rsidR="0089729C" w:rsidRPr="00436978" w:rsidRDefault="0089729C" w:rsidP="00436978">
      <w:pPr>
        <w:pStyle w:val="PargrafodaLista"/>
        <w:numPr>
          <w:ilvl w:val="0"/>
          <w:numId w:val="9"/>
        </w:numPr>
        <w:jc w:val="both"/>
        <w:rPr>
          <w:rFonts w:ascii="Arial" w:hAnsi="Arial" w:cs="Arial"/>
          <w:sz w:val="22"/>
          <w:szCs w:val="22"/>
        </w:rPr>
      </w:pPr>
      <w:r w:rsidRPr="00436978">
        <w:rPr>
          <w:rFonts w:ascii="Arial" w:hAnsi="Arial" w:cs="Arial"/>
          <w:b/>
          <w:bCs/>
          <w:sz w:val="22"/>
          <w:szCs w:val="22"/>
        </w:rPr>
        <w:t>Cluster 3</w:t>
      </w:r>
      <w:r w:rsidR="004F1D39" w:rsidRPr="00436978">
        <w:rPr>
          <w:rFonts w:ascii="Arial" w:hAnsi="Arial" w:cs="Arial"/>
          <w:b/>
          <w:bCs/>
          <w:sz w:val="22"/>
          <w:szCs w:val="22"/>
        </w:rPr>
        <w:t> :</w:t>
      </w:r>
      <w:r w:rsidRPr="00436978">
        <w:rPr>
          <w:rFonts w:ascii="Arial" w:hAnsi="Arial" w:cs="Arial"/>
          <w:b/>
          <w:bCs/>
          <w:sz w:val="22"/>
          <w:szCs w:val="22"/>
        </w:rPr>
        <w:t xml:space="preserve"> Économies en Développement (Défis Structurels) :</w:t>
      </w:r>
      <w:r w:rsidR="00436978" w:rsidRPr="00436978">
        <w:rPr>
          <w:rFonts w:ascii="Arial" w:hAnsi="Arial" w:cs="Arial"/>
          <w:b/>
          <w:bCs/>
          <w:sz w:val="22"/>
          <w:szCs w:val="22"/>
        </w:rPr>
        <w:t xml:space="preserve"> </w:t>
      </w:r>
      <w:r w:rsidRPr="00436978">
        <w:rPr>
          <w:rFonts w:ascii="Arial" w:hAnsi="Arial" w:cs="Arial"/>
          <w:sz w:val="22"/>
          <w:szCs w:val="22"/>
        </w:rPr>
        <w:t>Croatie, Estonie, Slovaquie, Lettonie, Grèce, Bulgarie</w:t>
      </w:r>
    </w:p>
    <w:p w14:paraId="680998A3" w14:textId="77777777" w:rsidR="004F1D39" w:rsidRDefault="004F1D39" w:rsidP="0089729C"/>
    <w:p w14:paraId="2FEC2AD7" w14:textId="77777777" w:rsidR="004F1D39" w:rsidRDefault="004F1D39" w:rsidP="0089729C"/>
    <w:p w14:paraId="7C6E3D9E" w14:textId="77777777" w:rsidR="004F1D39" w:rsidRDefault="004F1D39" w:rsidP="0089729C"/>
    <w:p w14:paraId="00DB6DC9" w14:textId="533C70BD" w:rsidR="004F1D39" w:rsidRPr="004F1D39" w:rsidRDefault="004F1D39" w:rsidP="004F1D39">
      <w:pPr>
        <w:pStyle w:val="Ttulo2"/>
        <w:rPr>
          <w:b/>
          <w:bCs/>
          <w:color w:val="auto"/>
        </w:rPr>
      </w:pPr>
      <w:r w:rsidRPr="004F1D39">
        <w:rPr>
          <w:b/>
          <w:bCs/>
          <w:color w:val="auto"/>
        </w:rPr>
        <w:lastRenderedPageBreak/>
        <w:t>Visualisations 2D des clusters</w:t>
      </w:r>
    </w:p>
    <w:p w14:paraId="041B438F" w14:textId="77777777" w:rsidR="00793EA5" w:rsidRDefault="006A79AB" w:rsidP="006A79AB">
      <w:r>
        <w:rPr>
          <w:noProof/>
        </w:rPr>
        <w:drawing>
          <wp:inline distT="0" distB="0" distL="0" distR="0" wp14:anchorId="296155B4" wp14:editId="2C013941">
            <wp:extent cx="5097780" cy="2970702"/>
            <wp:effectExtent l="0" t="0" r="7620" b="1270"/>
            <wp:docPr id="130197853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78538" name="Imagem 1301978538"/>
                    <pic:cNvPicPr/>
                  </pic:nvPicPr>
                  <pic:blipFill>
                    <a:blip r:embed="rId11">
                      <a:extLst>
                        <a:ext uri="{28A0092B-C50C-407E-A947-70E740481C1C}">
                          <a14:useLocalDpi xmlns:a14="http://schemas.microsoft.com/office/drawing/2010/main" val="0"/>
                        </a:ext>
                      </a:extLst>
                    </a:blip>
                    <a:stretch>
                      <a:fillRect/>
                    </a:stretch>
                  </pic:blipFill>
                  <pic:spPr>
                    <a:xfrm>
                      <a:off x="0" y="0"/>
                      <a:ext cx="5101907" cy="2973107"/>
                    </a:xfrm>
                    <a:prstGeom prst="rect">
                      <a:avLst/>
                    </a:prstGeom>
                  </pic:spPr>
                </pic:pic>
              </a:graphicData>
            </a:graphic>
          </wp:inline>
        </w:drawing>
      </w:r>
    </w:p>
    <w:p w14:paraId="5CF1AEA8" w14:textId="77777777" w:rsidR="00793EA5" w:rsidRDefault="006A79AB" w:rsidP="006A79AB">
      <w:r>
        <w:rPr>
          <w:noProof/>
        </w:rPr>
        <w:drawing>
          <wp:inline distT="0" distB="0" distL="0" distR="0" wp14:anchorId="45A8C380" wp14:editId="3A28AA24">
            <wp:extent cx="5082540" cy="2961820"/>
            <wp:effectExtent l="0" t="0" r="3810" b="0"/>
            <wp:docPr id="203726561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65613" name="Imagem 2037265613"/>
                    <pic:cNvPicPr/>
                  </pic:nvPicPr>
                  <pic:blipFill>
                    <a:blip r:embed="rId12">
                      <a:extLst>
                        <a:ext uri="{28A0092B-C50C-407E-A947-70E740481C1C}">
                          <a14:useLocalDpi xmlns:a14="http://schemas.microsoft.com/office/drawing/2010/main" val="0"/>
                        </a:ext>
                      </a:extLst>
                    </a:blip>
                    <a:stretch>
                      <a:fillRect/>
                    </a:stretch>
                  </pic:blipFill>
                  <pic:spPr>
                    <a:xfrm>
                      <a:off x="0" y="0"/>
                      <a:ext cx="5085771" cy="2963703"/>
                    </a:xfrm>
                    <a:prstGeom prst="rect">
                      <a:avLst/>
                    </a:prstGeom>
                  </pic:spPr>
                </pic:pic>
              </a:graphicData>
            </a:graphic>
          </wp:inline>
        </w:drawing>
      </w:r>
    </w:p>
    <w:p w14:paraId="64DE667C" w14:textId="24FB6F83" w:rsidR="006A79AB" w:rsidRDefault="006A79AB" w:rsidP="006A79AB">
      <w:r>
        <w:rPr>
          <w:noProof/>
        </w:rPr>
        <w:drawing>
          <wp:inline distT="0" distB="0" distL="0" distR="0" wp14:anchorId="4AF718C6" wp14:editId="18C067C4">
            <wp:extent cx="5073514" cy="2956560"/>
            <wp:effectExtent l="0" t="0" r="0" b="0"/>
            <wp:docPr id="87078437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84375" name="Imagem 870784375"/>
                    <pic:cNvPicPr/>
                  </pic:nvPicPr>
                  <pic:blipFill>
                    <a:blip r:embed="rId13">
                      <a:extLst>
                        <a:ext uri="{28A0092B-C50C-407E-A947-70E740481C1C}">
                          <a14:useLocalDpi xmlns:a14="http://schemas.microsoft.com/office/drawing/2010/main" val="0"/>
                        </a:ext>
                      </a:extLst>
                    </a:blip>
                    <a:stretch>
                      <a:fillRect/>
                    </a:stretch>
                  </pic:blipFill>
                  <pic:spPr>
                    <a:xfrm>
                      <a:off x="0" y="0"/>
                      <a:ext cx="5078261" cy="2959327"/>
                    </a:xfrm>
                    <a:prstGeom prst="rect">
                      <a:avLst/>
                    </a:prstGeom>
                  </pic:spPr>
                </pic:pic>
              </a:graphicData>
            </a:graphic>
          </wp:inline>
        </w:drawing>
      </w:r>
    </w:p>
    <w:p w14:paraId="0A712FA3" w14:textId="4433E260" w:rsidR="004A7A73" w:rsidRPr="004A7A73" w:rsidRDefault="004A7A73" w:rsidP="004A7A73">
      <w:pPr>
        <w:pStyle w:val="Ttulo1"/>
        <w:rPr>
          <w:b/>
          <w:bCs/>
        </w:rPr>
      </w:pPr>
      <w:r w:rsidRPr="004A7A73">
        <w:rPr>
          <w:b/>
          <w:bCs/>
        </w:rPr>
        <w:lastRenderedPageBreak/>
        <w:t>La zone euro est-elle une zone économique homogène ?</w:t>
      </w:r>
    </w:p>
    <w:p w14:paraId="7067BD84" w14:textId="211E8893" w:rsidR="004A7A73" w:rsidRPr="00436978" w:rsidRDefault="004A7A73" w:rsidP="00436978">
      <w:pPr>
        <w:jc w:val="both"/>
        <w:rPr>
          <w:rFonts w:ascii="Arial" w:hAnsi="Arial" w:cs="Arial"/>
          <w:sz w:val="22"/>
          <w:szCs w:val="22"/>
        </w:rPr>
      </w:pPr>
      <w:r w:rsidRPr="00436978">
        <w:rPr>
          <w:rFonts w:ascii="Arial" w:hAnsi="Arial" w:cs="Arial"/>
          <w:sz w:val="22"/>
          <w:szCs w:val="22"/>
        </w:rPr>
        <w:t>Étant donné que la littérature statistique considère un CV supérieur à 30 % comme indicatif d'une forte dispersion, les données attestent de profondes inégalités structurelles. Cette conclusion initiale est validée par l'analyse de clustering (K-Means), qui a divisé la région en 3 blocs de performance distincts, mettant en évidence que la convergence économique attendue par les traités européens n'a pas encore été atteinte.</w:t>
      </w:r>
    </w:p>
    <w:p w14:paraId="59B38DD6" w14:textId="3A8BD2B0" w:rsidR="004A7A73" w:rsidRPr="004A7A73" w:rsidRDefault="004A7A73" w:rsidP="004A7A73">
      <w:pPr>
        <w:pStyle w:val="Ttulo1"/>
        <w:rPr>
          <w:b/>
          <w:bCs/>
        </w:rPr>
      </w:pPr>
      <w:r w:rsidRPr="004A7A73">
        <w:rPr>
          <w:b/>
          <w:bCs/>
        </w:rPr>
        <w:t>Les pays de la zone euro présent-ils des caractéristiques suffisamment proches pour partager une même monnaie ?</w:t>
      </w:r>
    </w:p>
    <w:p w14:paraId="39107D35" w14:textId="77777777" w:rsidR="004A7A73" w:rsidRPr="00436978" w:rsidRDefault="004A7A73" w:rsidP="00436978">
      <w:pPr>
        <w:jc w:val="both"/>
        <w:rPr>
          <w:rFonts w:ascii="Arial" w:hAnsi="Arial" w:cs="Arial"/>
          <w:sz w:val="22"/>
          <w:szCs w:val="22"/>
        </w:rPr>
      </w:pPr>
      <w:r w:rsidRPr="00436978">
        <w:rPr>
          <w:rFonts w:ascii="Arial" w:hAnsi="Arial" w:cs="Arial"/>
          <w:sz w:val="22"/>
          <w:szCs w:val="22"/>
        </w:rPr>
        <w:t>Une analyse purement objective des données, sans éléments de contexte, indique qu'il n'est pas recommandé de regrouper ces pays. Cela s'explique par la violation de la théorie des Zones Monétaires Optimales (ZMO), développée par le prix Nobel Robert Mundell (1961). Mundell postule que pour partager efficacement une monnaie, les économies doivent réagir de manière similaire aux chocs externes. Les données extraites du modèle K-Means prouvent que l'Europe est divisée en différents blocs de performance.</w:t>
      </w:r>
    </w:p>
    <w:p w14:paraId="4163F9C1" w14:textId="011AFC83" w:rsidR="004A7A73" w:rsidRPr="00436978" w:rsidRDefault="004A7A73" w:rsidP="00436978">
      <w:pPr>
        <w:jc w:val="both"/>
        <w:rPr>
          <w:rFonts w:ascii="Arial" w:hAnsi="Arial" w:cs="Arial"/>
          <w:sz w:val="22"/>
          <w:szCs w:val="22"/>
        </w:rPr>
      </w:pPr>
      <w:r w:rsidRPr="00436978">
        <w:rPr>
          <w:rFonts w:ascii="Arial" w:hAnsi="Arial" w:cs="Arial"/>
          <w:sz w:val="22"/>
          <w:szCs w:val="22"/>
        </w:rPr>
        <w:t>Cependant, le bloc fonctionne grâce aux éléments suivants :</w:t>
      </w:r>
    </w:p>
    <w:p w14:paraId="337134A9" w14:textId="77777777" w:rsidR="004A7A73" w:rsidRPr="004A7A73" w:rsidRDefault="004A7A73" w:rsidP="004A7A73">
      <w:pPr>
        <w:pStyle w:val="Ttulo2"/>
        <w:rPr>
          <w:b/>
          <w:bCs/>
          <w:color w:val="auto"/>
        </w:rPr>
      </w:pPr>
      <w:r w:rsidRPr="004A7A73">
        <w:rPr>
          <w:b/>
          <w:bCs/>
          <w:color w:val="auto"/>
        </w:rPr>
        <w:t>1. Interdépendance structurelle</w:t>
      </w:r>
    </w:p>
    <w:p w14:paraId="63333BA2" w14:textId="63229E9E" w:rsidR="004A7A73" w:rsidRPr="00436978" w:rsidRDefault="004A7A73" w:rsidP="00436978">
      <w:pPr>
        <w:jc w:val="both"/>
        <w:rPr>
          <w:rFonts w:ascii="Arial" w:hAnsi="Arial" w:cs="Arial"/>
          <w:sz w:val="22"/>
          <w:szCs w:val="22"/>
        </w:rPr>
      </w:pPr>
      <w:r w:rsidRPr="00436978">
        <w:rPr>
          <w:rFonts w:ascii="Arial" w:hAnsi="Arial" w:cs="Arial"/>
          <w:sz w:val="22"/>
          <w:szCs w:val="22"/>
        </w:rPr>
        <w:t>La pertinence réelle du bloc repose non pas sur l'homogénéité, mais sur la dépendance mutuelle. La littérature économique reconnaît une dynamique de compensation croisée : les économies très performantes ont besoin d'inclure des économies plus fragiles afin d'éviter une appréciation excessive de l'euro, garantissant ainsi la compétitivité mondiale de leurs exportations. En contrepartie, les économies instables renoncent à leur souveraineté monétaire en échange de la crédibilité institutionnelle de la BCE, se protégeant ainsi des crises de change et obtenant des crédits internationaux à des coûts nettement inférieurs.</w:t>
      </w:r>
    </w:p>
    <w:p w14:paraId="3F83B155" w14:textId="77777777" w:rsidR="004A7A73" w:rsidRPr="004A7A73" w:rsidRDefault="004A7A73" w:rsidP="004A7A73">
      <w:pPr>
        <w:pStyle w:val="Ttulo2"/>
        <w:rPr>
          <w:b/>
          <w:bCs/>
          <w:color w:val="auto"/>
        </w:rPr>
      </w:pPr>
      <w:r w:rsidRPr="004A7A73">
        <w:rPr>
          <w:b/>
          <w:bCs/>
          <w:color w:val="auto"/>
        </w:rPr>
        <w:t>2. La théorie endogène et les mécanismes de soutien</w:t>
      </w:r>
    </w:p>
    <w:p w14:paraId="3A36F0E8" w14:textId="77777777" w:rsidR="004A7A73" w:rsidRPr="00436978" w:rsidRDefault="004A7A73" w:rsidP="00436978">
      <w:pPr>
        <w:jc w:val="both"/>
        <w:rPr>
          <w:rFonts w:ascii="Arial" w:hAnsi="Arial" w:cs="Arial"/>
          <w:sz w:val="22"/>
          <w:szCs w:val="22"/>
        </w:rPr>
      </w:pPr>
      <w:r w:rsidRPr="00436978">
        <w:rPr>
          <w:rFonts w:ascii="Arial" w:hAnsi="Arial" w:cs="Arial"/>
          <w:sz w:val="22"/>
          <w:szCs w:val="22"/>
        </w:rPr>
        <w:t>Afin de neutraliser les asymétries prouvées par les données, la zone euro fonctionne selon le concept de ZMO endogène, théorisé par les économistes Jeffrey Frankel et Andrew Rose (1998). Cette approche soutient que le partage de la monnaie force l'intégration commerciale et institutionnelle au fil du temps. Le bloc compense ses différences structurelles grâce à des critères établis par d'autres théoriciens de la ZMO :</w:t>
      </w:r>
    </w:p>
    <w:p w14:paraId="5FBCFD19" w14:textId="617C8C66" w:rsidR="004A7A73" w:rsidRPr="00436978" w:rsidRDefault="004A7A73" w:rsidP="00436978">
      <w:pPr>
        <w:pStyle w:val="PargrafodaLista"/>
        <w:numPr>
          <w:ilvl w:val="0"/>
          <w:numId w:val="3"/>
        </w:numPr>
        <w:jc w:val="both"/>
        <w:rPr>
          <w:rFonts w:ascii="Arial" w:hAnsi="Arial" w:cs="Arial"/>
          <w:sz w:val="22"/>
          <w:szCs w:val="22"/>
        </w:rPr>
      </w:pPr>
      <w:r w:rsidRPr="00436978">
        <w:rPr>
          <w:rFonts w:ascii="Arial" w:hAnsi="Arial" w:cs="Arial"/>
          <w:sz w:val="22"/>
          <w:szCs w:val="22"/>
        </w:rPr>
        <w:t>Mobilité des facteurs (Critère de Mundell) : L'espace Schengen fonctionne comme une soupape de sécurité essentielle. Face à l'impossibilité de dévaluer la monnaie lors de crises locales, la main-d'œuvre migre des zones stagnantes vers les zones en expansion, équilibrant ainsi le marché.</w:t>
      </w:r>
    </w:p>
    <w:p w14:paraId="704691E1" w14:textId="15B2F0AF" w:rsidR="004A7A73" w:rsidRPr="00436978" w:rsidRDefault="004A7A73" w:rsidP="00436978">
      <w:pPr>
        <w:pStyle w:val="PargrafodaLista"/>
        <w:numPr>
          <w:ilvl w:val="0"/>
          <w:numId w:val="3"/>
        </w:numPr>
        <w:jc w:val="both"/>
        <w:rPr>
          <w:rFonts w:ascii="Arial" w:hAnsi="Arial" w:cs="Arial"/>
          <w:sz w:val="22"/>
          <w:szCs w:val="22"/>
        </w:rPr>
      </w:pPr>
      <w:r w:rsidRPr="00436978">
        <w:rPr>
          <w:rFonts w:ascii="Arial" w:hAnsi="Arial" w:cs="Arial"/>
          <w:sz w:val="22"/>
          <w:szCs w:val="22"/>
        </w:rPr>
        <w:t>Transferts fiscaux (Critère de Peter Kenen, 1969) : Kenen affirme que les unions monétaires asymétriques survivent grâce à un budget centralisé pour la redistribution des revenus. L'Union européenne simule ce mécanisme par le biais des fonds de cohésion et du Mécanisme européen de stabilité (MES), en transférant des capitaux des économies leaders vers le développement structurel des autres blocs.</w:t>
      </w:r>
    </w:p>
    <w:p w14:paraId="13612274" w14:textId="3DC919AB" w:rsidR="009E3BC2" w:rsidRPr="00436978" w:rsidRDefault="009E3BC2" w:rsidP="009E3BC2">
      <w:pPr>
        <w:pStyle w:val="Ttulo1"/>
        <w:rPr>
          <w:b/>
          <w:bCs/>
        </w:rPr>
      </w:pPr>
      <w:r w:rsidRPr="00436978">
        <w:rPr>
          <w:b/>
          <w:bCs/>
        </w:rPr>
        <w:t>Conclusion</w:t>
      </w:r>
    </w:p>
    <w:p w14:paraId="56C5E5F5" w14:textId="51A072CE" w:rsidR="004A7A73" w:rsidRPr="00436978" w:rsidRDefault="004A7A73" w:rsidP="00436978">
      <w:pPr>
        <w:jc w:val="both"/>
        <w:rPr>
          <w:rFonts w:ascii="Arial" w:hAnsi="Arial" w:cs="Arial"/>
          <w:sz w:val="22"/>
          <w:szCs w:val="22"/>
        </w:rPr>
      </w:pPr>
      <w:r w:rsidRPr="00436978">
        <w:rPr>
          <w:rFonts w:ascii="Arial" w:hAnsi="Arial" w:cs="Arial"/>
          <w:sz w:val="22"/>
          <w:szCs w:val="22"/>
        </w:rPr>
        <w:t>En conclusion, la pertinence actuelle de l'euro ne découle pas d'une similitude naturelle entre ses membres, mais plutôt de la lourde infrastructure d'intégration conçue pour atténuer les disparités, rendant les coûts d'une éventuelle dissolution bien supérieurs aux charges de l'asymétrie actuelle.</w:t>
      </w:r>
    </w:p>
    <w:p w14:paraId="21AE3B48" w14:textId="77777777" w:rsidR="000B0970" w:rsidRDefault="000B0970" w:rsidP="004A7A73"/>
    <w:p w14:paraId="4FAA7579" w14:textId="66C7D10F" w:rsidR="000B0970" w:rsidRDefault="000B0970" w:rsidP="000B0970">
      <w:pPr>
        <w:pStyle w:val="Ttulo1"/>
      </w:pPr>
      <w:r>
        <w:lastRenderedPageBreak/>
        <w:t>Références</w:t>
      </w:r>
    </w:p>
    <w:p w14:paraId="3DAC1DE1" w14:textId="506B4209" w:rsidR="000B0970" w:rsidRPr="00436978" w:rsidRDefault="000B0970" w:rsidP="00436978">
      <w:pPr>
        <w:jc w:val="both"/>
        <w:rPr>
          <w:rFonts w:ascii="Arial" w:hAnsi="Arial" w:cs="Arial"/>
          <w:sz w:val="22"/>
          <w:szCs w:val="22"/>
        </w:rPr>
      </w:pPr>
      <w:r w:rsidRPr="00436978">
        <w:rPr>
          <w:rFonts w:ascii="Arial" w:hAnsi="Arial" w:cs="Arial"/>
          <w:sz w:val="22"/>
          <w:szCs w:val="22"/>
        </w:rPr>
        <w:t>Les sources ci-dessous ont été mobilisées par les modèles LLM (Claude, ChatGPT et Gemini) pour la collecte des données et l’appui théorique.</w:t>
      </w:r>
    </w:p>
    <w:p w14:paraId="0F030EF7" w14:textId="77777777" w:rsidR="000B0970" w:rsidRPr="00436978" w:rsidRDefault="000B0970" w:rsidP="00436978">
      <w:pPr>
        <w:pStyle w:val="PargrafodaLista"/>
        <w:numPr>
          <w:ilvl w:val="0"/>
          <w:numId w:val="7"/>
        </w:numPr>
        <w:jc w:val="both"/>
        <w:rPr>
          <w:rFonts w:ascii="Arial" w:hAnsi="Arial" w:cs="Arial"/>
          <w:sz w:val="22"/>
          <w:szCs w:val="22"/>
        </w:rPr>
      </w:pPr>
      <w:r w:rsidRPr="00436978">
        <w:rPr>
          <w:rFonts w:ascii="Arial" w:hAnsi="Arial" w:cs="Arial"/>
          <w:sz w:val="22"/>
          <w:szCs w:val="22"/>
        </w:rPr>
        <w:t>Sources de données : Eurostat, BCE, FMI, OCDE, PNUD.</w:t>
      </w:r>
    </w:p>
    <w:p w14:paraId="0920A2CF" w14:textId="0361E57D" w:rsidR="000B0970" w:rsidRPr="00436978" w:rsidRDefault="000B0970" w:rsidP="00436978">
      <w:pPr>
        <w:pStyle w:val="PargrafodaLista"/>
        <w:numPr>
          <w:ilvl w:val="0"/>
          <w:numId w:val="7"/>
        </w:numPr>
        <w:jc w:val="both"/>
        <w:rPr>
          <w:rFonts w:ascii="Arial" w:hAnsi="Arial" w:cs="Arial"/>
          <w:sz w:val="22"/>
          <w:szCs w:val="22"/>
        </w:rPr>
      </w:pPr>
      <w:r w:rsidRPr="00436978">
        <w:rPr>
          <w:rFonts w:ascii="Arial" w:hAnsi="Arial" w:cs="Arial"/>
          <w:sz w:val="22"/>
          <w:szCs w:val="22"/>
        </w:rPr>
        <w:t>Références théoriques : Mundell (1961), Kenen (1969), Frankel &amp; Rose (1998), Stiglitz (2016), Krugman (2012).</w:t>
      </w:r>
    </w:p>
    <w:p w14:paraId="30904A42" w14:textId="77777777" w:rsidR="004A7A73" w:rsidRPr="004A7A73" w:rsidRDefault="004A7A73" w:rsidP="004A7A73"/>
    <w:p w14:paraId="2CC4F302" w14:textId="77777777" w:rsidR="004A7A73" w:rsidRPr="004830BA" w:rsidRDefault="004A7A73" w:rsidP="006A79AB"/>
    <w:sectPr w:rsidR="004A7A73" w:rsidRPr="004830BA" w:rsidSect="006A79A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F16F3"/>
    <w:multiLevelType w:val="hybridMultilevel"/>
    <w:tmpl w:val="611E1B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5B46F9E"/>
    <w:multiLevelType w:val="multilevel"/>
    <w:tmpl w:val="6406AA2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3BB26298"/>
    <w:multiLevelType w:val="multilevel"/>
    <w:tmpl w:val="6406AA2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41ED6A7C"/>
    <w:multiLevelType w:val="multilevel"/>
    <w:tmpl w:val="2378344E"/>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47856F34"/>
    <w:multiLevelType w:val="hybridMultilevel"/>
    <w:tmpl w:val="DD3872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4307809"/>
    <w:multiLevelType w:val="hybridMultilevel"/>
    <w:tmpl w:val="9D7C0F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92C46C9"/>
    <w:multiLevelType w:val="multilevel"/>
    <w:tmpl w:val="398C1528"/>
    <w:lvl w:ilvl="0">
      <w:start w:val="1"/>
      <w:numFmt w:val="decimal"/>
      <w:lvlText w:val="%1."/>
      <w:lvlJc w:val="left"/>
      <w:pPr>
        <w:ind w:left="720" w:hanging="360"/>
      </w:pPr>
      <w:rPr>
        <w:rFonts w:hint="default"/>
      </w:rPr>
    </w:lvl>
    <w:lvl w:ilvl="1">
      <w:start w:val="1"/>
      <w:numFmt w:val="decimal"/>
      <w:isLgl/>
      <w:lvlText w:val="%1.%2"/>
      <w:lvlJc w:val="left"/>
      <w:pPr>
        <w:ind w:left="85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D6C0C45"/>
    <w:multiLevelType w:val="hybridMultilevel"/>
    <w:tmpl w:val="C29432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15B6E5C"/>
    <w:multiLevelType w:val="hybridMultilevel"/>
    <w:tmpl w:val="2654CE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31309111">
    <w:abstractNumId w:val="2"/>
  </w:num>
  <w:num w:numId="2" w16cid:durableId="1355888347">
    <w:abstractNumId w:val="6"/>
  </w:num>
  <w:num w:numId="3" w16cid:durableId="369109139">
    <w:abstractNumId w:val="4"/>
  </w:num>
  <w:num w:numId="4" w16cid:durableId="1093821619">
    <w:abstractNumId w:val="7"/>
  </w:num>
  <w:num w:numId="5" w16cid:durableId="765156145">
    <w:abstractNumId w:val="0"/>
  </w:num>
  <w:num w:numId="6" w16cid:durableId="1163008123">
    <w:abstractNumId w:val="5"/>
  </w:num>
  <w:num w:numId="7" w16cid:durableId="180583101">
    <w:abstractNumId w:val="8"/>
  </w:num>
  <w:num w:numId="8" w16cid:durableId="974212372">
    <w:abstractNumId w:val="1"/>
  </w:num>
  <w:num w:numId="9" w16cid:durableId="1662583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0BA"/>
    <w:rsid w:val="000745AC"/>
    <w:rsid w:val="000B0970"/>
    <w:rsid w:val="000C4A26"/>
    <w:rsid w:val="00227175"/>
    <w:rsid w:val="003C58C3"/>
    <w:rsid w:val="00436978"/>
    <w:rsid w:val="004830BA"/>
    <w:rsid w:val="004A7A73"/>
    <w:rsid w:val="004F1D39"/>
    <w:rsid w:val="006A79AB"/>
    <w:rsid w:val="006B1A63"/>
    <w:rsid w:val="00744E95"/>
    <w:rsid w:val="007767A9"/>
    <w:rsid w:val="00793EA5"/>
    <w:rsid w:val="00834569"/>
    <w:rsid w:val="0089729C"/>
    <w:rsid w:val="00923C1B"/>
    <w:rsid w:val="0099397C"/>
    <w:rsid w:val="009E3BC2"/>
    <w:rsid w:val="00C06A58"/>
    <w:rsid w:val="00E34C4F"/>
    <w:rsid w:val="00E601A6"/>
    <w:rsid w:val="00F96D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89741"/>
  <w15:chartTrackingRefBased/>
  <w15:docId w15:val="{29DA9682-F678-4957-AFDA-3084ECC43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830BA"/>
    <w:pPr>
      <w:keepNext/>
      <w:keepLines/>
      <w:spacing w:before="240" w:after="120" w:line="240" w:lineRule="auto"/>
      <w:outlineLvl w:val="0"/>
    </w:pPr>
    <w:rPr>
      <w:rFonts w:asciiTheme="majorHAnsi" w:eastAsiaTheme="majorEastAsia" w:hAnsiTheme="majorHAnsi" w:cstheme="majorBidi"/>
      <w:sz w:val="40"/>
      <w:szCs w:val="40"/>
    </w:rPr>
  </w:style>
  <w:style w:type="paragraph" w:styleId="Ttulo2">
    <w:name w:val="heading 2"/>
    <w:basedOn w:val="Normal"/>
    <w:next w:val="Normal"/>
    <w:link w:val="Ttulo2Char"/>
    <w:uiPriority w:val="9"/>
    <w:unhideWhenUsed/>
    <w:qFormat/>
    <w:rsid w:val="00483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830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830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830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830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830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830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830B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830BA"/>
    <w:rPr>
      <w:rFonts w:asciiTheme="majorHAnsi" w:eastAsiaTheme="majorEastAsia" w:hAnsiTheme="majorHAnsi" w:cstheme="majorBidi"/>
      <w:sz w:val="40"/>
      <w:szCs w:val="40"/>
    </w:rPr>
  </w:style>
  <w:style w:type="character" w:customStyle="1" w:styleId="Ttulo2Char">
    <w:name w:val="Título 2 Char"/>
    <w:basedOn w:val="Fontepargpadro"/>
    <w:link w:val="Ttulo2"/>
    <w:uiPriority w:val="9"/>
    <w:rsid w:val="004830B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830B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830B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830B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830B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830B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830B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830BA"/>
    <w:rPr>
      <w:rFonts w:eastAsiaTheme="majorEastAsia" w:cstheme="majorBidi"/>
      <w:color w:val="272727" w:themeColor="text1" w:themeTint="D8"/>
    </w:rPr>
  </w:style>
  <w:style w:type="paragraph" w:styleId="Ttulo">
    <w:name w:val="Title"/>
    <w:basedOn w:val="Normal"/>
    <w:next w:val="Normal"/>
    <w:link w:val="TtuloChar"/>
    <w:uiPriority w:val="10"/>
    <w:qFormat/>
    <w:rsid w:val="00483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830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830B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830B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830BA"/>
    <w:pPr>
      <w:spacing w:before="160"/>
      <w:jc w:val="center"/>
    </w:pPr>
    <w:rPr>
      <w:i/>
      <w:iCs/>
      <w:color w:val="404040" w:themeColor="text1" w:themeTint="BF"/>
    </w:rPr>
  </w:style>
  <w:style w:type="character" w:customStyle="1" w:styleId="CitaoChar">
    <w:name w:val="Citação Char"/>
    <w:basedOn w:val="Fontepargpadro"/>
    <w:link w:val="Citao"/>
    <w:uiPriority w:val="29"/>
    <w:rsid w:val="004830BA"/>
    <w:rPr>
      <w:i/>
      <w:iCs/>
      <w:color w:val="404040" w:themeColor="text1" w:themeTint="BF"/>
    </w:rPr>
  </w:style>
  <w:style w:type="paragraph" w:styleId="PargrafodaLista">
    <w:name w:val="List Paragraph"/>
    <w:basedOn w:val="Normal"/>
    <w:uiPriority w:val="34"/>
    <w:qFormat/>
    <w:rsid w:val="004830BA"/>
    <w:pPr>
      <w:ind w:left="720"/>
      <w:contextualSpacing/>
    </w:pPr>
  </w:style>
  <w:style w:type="character" w:styleId="nfaseIntensa">
    <w:name w:val="Intense Emphasis"/>
    <w:basedOn w:val="Fontepargpadro"/>
    <w:uiPriority w:val="21"/>
    <w:qFormat/>
    <w:rsid w:val="004830BA"/>
    <w:rPr>
      <w:i/>
      <w:iCs/>
      <w:color w:val="0F4761" w:themeColor="accent1" w:themeShade="BF"/>
    </w:rPr>
  </w:style>
  <w:style w:type="paragraph" w:styleId="CitaoIntensa">
    <w:name w:val="Intense Quote"/>
    <w:basedOn w:val="Normal"/>
    <w:next w:val="Normal"/>
    <w:link w:val="CitaoIntensaChar"/>
    <w:uiPriority w:val="30"/>
    <w:qFormat/>
    <w:rsid w:val="00483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830BA"/>
    <w:rPr>
      <w:i/>
      <w:iCs/>
      <w:color w:val="0F4761" w:themeColor="accent1" w:themeShade="BF"/>
    </w:rPr>
  </w:style>
  <w:style w:type="character" w:styleId="RefernciaIntensa">
    <w:name w:val="Intense Reference"/>
    <w:basedOn w:val="Fontepargpadro"/>
    <w:uiPriority w:val="32"/>
    <w:qFormat/>
    <w:rsid w:val="004830BA"/>
    <w:rPr>
      <w:b/>
      <w:bCs/>
      <w:smallCaps/>
      <w:color w:val="0F4761" w:themeColor="accent1" w:themeShade="BF"/>
      <w:spacing w:val="5"/>
    </w:rPr>
  </w:style>
  <w:style w:type="table" w:styleId="Tabelacomgrade">
    <w:name w:val="Table Grid"/>
    <w:basedOn w:val="Tabelanormal"/>
    <w:uiPriority w:val="39"/>
    <w:rsid w:val="00E60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8</Pages>
  <Words>1321</Words>
  <Characters>7267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Mariano Albuquerque</dc:creator>
  <cp:keywords/>
  <dc:description/>
  <cp:lastModifiedBy>Melissa Mariano Albuquerque</cp:lastModifiedBy>
  <cp:revision>19</cp:revision>
  <cp:lastPrinted>2026-05-22T22:38:00Z</cp:lastPrinted>
  <dcterms:created xsi:type="dcterms:W3CDTF">2026-05-22T21:07:00Z</dcterms:created>
  <dcterms:modified xsi:type="dcterms:W3CDTF">2026-05-22T22:43:00Z</dcterms:modified>
</cp:coreProperties>
</file>