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93A8" w14:textId="77777777" w:rsidR="00603383" w:rsidRPr="00603383" w:rsidRDefault="00603383" w:rsidP="00603383">
      <w:pPr>
        <w:rPr>
          <w:b/>
          <w:bCs/>
        </w:rPr>
      </w:pPr>
      <w:r w:rsidRPr="00603383">
        <w:rPr>
          <w:b/>
          <w:bCs/>
        </w:rPr>
        <w:t>La Zone Euro est-elle une Zone Économique Homogène ?</w:t>
      </w:r>
    </w:p>
    <w:p w14:paraId="6B4975A9" w14:textId="77777777" w:rsidR="00603383" w:rsidRPr="00603383" w:rsidRDefault="00603383" w:rsidP="00603383">
      <w:pPr>
        <w:rPr>
          <w:b/>
          <w:bCs/>
        </w:rPr>
      </w:pPr>
      <w:r w:rsidRPr="00603383">
        <w:rPr>
          <w:b/>
          <w:bCs/>
        </w:rPr>
        <w:t>Recherche des données — Agrégats économiques &amp; Conditions de vie</w:t>
      </w:r>
    </w:p>
    <w:p w14:paraId="7C33C83B" w14:textId="77777777" w:rsidR="00603383" w:rsidRPr="00603383" w:rsidRDefault="00000000" w:rsidP="00603383">
      <w:r>
        <w:pict w14:anchorId="7E1DA4A0">
          <v:rect id="_x0000_i1025" style="width:0;height:1.5pt" o:hralign="center" o:hrstd="t" o:hr="t" fillcolor="#a0a0a0" stroked="f"/>
        </w:pict>
      </w:r>
    </w:p>
    <w:p w14:paraId="699578BE" w14:textId="77777777" w:rsidR="00603383" w:rsidRPr="00603383" w:rsidRDefault="00603383" w:rsidP="00603383">
      <w:pPr>
        <w:rPr>
          <w:b/>
          <w:bCs/>
        </w:rPr>
      </w:pPr>
      <w:r w:rsidRPr="00603383">
        <w:rPr>
          <w:b/>
          <w:bCs/>
        </w:rPr>
        <w:t>1. Composition de la zone euro</w:t>
      </w:r>
    </w:p>
    <w:p w14:paraId="2645EDDD" w14:textId="77777777" w:rsidR="00603383" w:rsidRPr="00603383" w:rsidRDefault="00603383" w:rsidP="00603383">
      <w:r w:rsidRPr="00603383">
        <w:t xml:space="preserve">Depuis le 1er janvier 2026, la zone euro (EA21) comprend : Belgique, Allemagne, Estonie, Irlande, Grèce, Espagne, France, Croatie, Italie, Chypre, Lettonie, Lituanie, Luxembourg, Malte, Pays-Bas, Autriche, Portugal, Slovénie, Slovaquie, Finlande et, depuis janvier 2026, la Bulgarie. </w:t>
      </w:r>
      <w:r w:rsidRPr="00603383">
        <w:fldChar w:fldCharType="begin"/>
      </w:r>
      <w:r w:rsidRPr="00603383">
        <w:instrText>HYPERLINK "https://ec.europa.eu/eurostat/web/products-euro-indicators/w/3-08012026-ap" \t "_blank"</w:instrText>
      </w:r>
      <w:r w:rsidRPr="00603383">
        <w:fldChar w:fldCharType="separate"/>
      </w:r>
      <w:r w:rsidRPr="00603383">
        <w:rPr>
          <w:rStyle w:val="Hyperlink"/>
        </w:rPr>
        <w:t>Eurostat</w:t>
      </w:r>
      <w:r w:rsidRPr="00603383">
        <w:fldChar w:fldCharType="end"/>
      </w:r>
    </w:p>
    <w:p w14:paraId="63C2ECC8" w14:textId="77777777" w:rsidR="00603383" w:rsidRPr="00603383" w:rsidRDefault="00000000" w:rsidP="00603383">
      <w:r>
        <w:pict w14:anchorId="52419C90">
          <v:rect id="_x0000_i1026" style="width:0;height:1.5pt" o:hralign="center" o:hrstd="t" o:hr="t" fillcolor="#a0a0a0" stroked="f"/>
        </w:pict>
      </w:r>
    </w:p>
    <w:p w14:paraId="4802A905" w14:textId="77777777" w:rsidR="00603383" w:rsidRPr="00603383" w:rsidRDefault="00603383" w:rsidP="00603383">
      <w:pPr>
        <w:rPr>
          <w:b/>
          <w:bCs/>
        </w:rPr>
      </w:pPr>
      <w:r w:rsidRPr="00603383">
        <w:rPr>
          <w:b/>
          <w:bCs/>
        </w:rPr>
        <w:t>2. Agrégats économiques</w:t>
      </w:r>
    </w:p>
    <w:p w14:paraId="291B0207" w14:textId="77777777" w:rsidR="00603383" w:rsidRPr="00603383" w:rsidRDefault="00603383" w:rsidP="00603383">
      <w:pPr>
        <w:rPr>
          <w:b/>
          <w:bCs/>
        </w:rPr>
      </w:pPr>
      <w:r w:rsidRPr="00603383">
        <w:rPr>
          <w:b/>
          <w:bCs/>
        </w:rPr>
        <w:t>2.1 PIB par habitant</w:t>
      </w:r>
    </w:p>
    <w:p w14:paraId="0C299EE3" w14:textId="77777777" w:rsidR="00603383" w:rsidRPr="00603383" w:rsidRDefault="00603383" w:rsidP="00603383">
      <w:r w:rsidRPr="00603383">
        <w:t xml:space="preserve">En 2024, le PIB par habitant exprimé en standards de pouvoir d'achat (SPA) présente des différences substantielles entre les pays de l'UE. Le Luxembourg enregistre le niveau le plus élevé, à 145 % au-dessus de la moyenne UE, suivi de l'Irlande à 121 % au-dessus de cette même moyenne. </w:t>
      </w:r>
      <w:r w:rsidRPr="00603383">
        <w:fldChar w:fldCharType="begin"/>
      </w:r>
      <w:r w:rsidRPr="00603383">
        <w:instrText>HYPERLINK "https://ec.europa.eu/eurostat/statistics-explained/SEPDF/cache/1809.pdf" \t "_blank"</w:instrText>
      </w:r>
      <w:r w:rsidRPr="00603383">
        <w:fldChar w:fldCharType="separate"/>
      </w:r>
      <w:r w:rsidRPr="00603383">
        <w:rPr>
          <w:rStyle w:val="Hyperlink"/>
        </w:rPr>
        <w:t>europa</w:t>
      </w:r>
      <w:r w:rsidRPr="00603383">
        <w:fldChar w:fldCharType="end"/>
      </w:r>
    </w:p>
    <w:p w14:paraId="33C123DC" w14:textId="77777777" w:rsidR="00603383" w:rsidRPr="00603383" w:rsidRDefault="00603383" w:rsidP="00603383">
      <w:r w:rsidRPr="00603383">
        <w:t xml:space="preserve">En 2024, le PIB par habitant en SPA s'étend de 66 % de la moyenne UE en Bulgarie à 241 % au Luxembourg. Les Pays-Bas se situent à 35 % au-dessus de la moyenne, le Danemark à +28 % et la Belgique à +17 %. </w:t>
      </w:r>
      <w:r w:rsidRPr="00603383">
        <w:fldChar w:fldCharType="begin"/>
      </w:r>
      <w:r w:rsidRPr="00603383">
        <w:instrText>HYPERLINK "https://ec.europa.eu/eurostat/fr/web/products-eurostat-news/w/ddn-20250327-2" \t "_blank"</w:instrText>
      </w:r>
      <w:r w:rsidRPr="00603383">
        <w:fldChar w:fldCharType="separate"/>
      </w:r>
      <w:r w:rsidRPr="00603383">
        <w:rPr>
          <w:rStyle w:val="Hyperlink"/>
        </w:rPr>
        <w:t>europa</w:t>
      </w:r>
      <w:r w:rsidRPr="00603383">
        <w:fldChar w:fldCharType="end"/>
      </w:r>
    </w:p>
    <w:p w14:paraId="13898E02" w14:textId="77777777" w:rsidR="00603383" w:rsidRPr="00603383" w:rsidRDefault="00603383" w:rsidP="00603383">
      <w:r w:rsidRPr="00603383">
        <w:t xml:space="preserve">En termes de PIB réel par habitant en euros (données 2023), le classement au sein de la zone euro est le suivant d'après les données Eurostat : Luxembourg (83 320 €), Irlande (71 700 €), Pays-Bas (44 460 €), Autriche (37 860 €), Belgique (37 340 €), Finlande (36 760 €), Allemagne (36 290 €), France (33 750 €), Chypre (29 080 €), Italie (28 880 €) et Malte (26 110 €). </w:t>
      </w:r>
      <w:r w:rsidRPr="00603383">
        <w:fldChar w:fldCharType="begin"/>
      </w:r>
      <w:r w:rsidRPr="00603383">
        <w:instrText>HYPERLINK "https://en.wikipedia.org/wiki/List_of_European_countries_by_Real_GDP_per_capita" \t "_blank"</w:instrText>
      </w:r>
      <w:r w:rsidRPr="00603383">
        <w:fldChar w:fldCharType="separate"/>
      </w:r>
      <w:r w:rsidRPr="00603383">
        <w:rPr>
          <w:rStyle w:val="Hyperlink"/>
        </w:rPr>
        <w:t>Wikipedia</w:t>
      </w:r>
      <w:r w:rsidRPr="00603383">
        <w:fldChar w:fldCharType="end"/>
      </w:r>
    </w:p>
    <w:p w14:paraId="1F19A976" w14:textId="77777777" w:rsidR="00603383" w:rsidRPr="00603383" w:rsidRDefault="00603383" w:rsidP="00603383">
      <w:r w:rsidRPr="00603383">
        <w:t xml:space="preserve">Il convient de souligner deux biais importants dans ces chiffres : le PIB élevé du Luxembourg s'explique en partie par sa large proportion de travailleurs frontaliers qui contribuent au PIB sans faire partie de la population résidente. De même, le niveau élevé de l'Irlande est partiellement dû à la présence de grandes multinationales détenant de la propriété intellectuelle. </w:t>
      </w:r>
      <w:r w:rsidRPr="00603383">
        <w:fldChar w:fldCharType="begin"/>
      </w:r>
      <w:r w:rsidRPr="00603383">
        <w:instrText>HYPERLINK "https://ec.europa.eu/eurostat/web/products-eurostat-news/w/ddn-20250327-2" \t "_blank"</w:instrText>
      </w:r>
      <w:r w:rsidRPr="00603383">
        <w:fldChar w:fldCharType="separate"/>
      </w:r>
      <w:r w:rsidRPr="00603383">
        <w:rPr>
          <w:rStyle w:val="Hyperlink"/>
        </w:rPr>
        <w:t>Eurostat</w:t>
      </w:r>
      <w:r w:rsidRPr="00603383">
        <w:fldChar w:fldCharType="end"/>
      </w:r>
    </w:p>
    <w:p w14:paraId="3686D954" w14:textId="77777777" w:rsidR="00603383" w:rsidRPr="00603383" w:rsidRDefault="00603383" w:rsidP="00603383">
      <w:pPr>
        <w:rPr>
          <w:b/>
          <w:bCs/>
        </w:rPr>
      </w:pPr>
      <w:r w:rsidRPr="00603383">
        <w:rPr>
          <w:b/>
          <w:bCs/>
        </w:rPr>
        <w:t>2.2 Taux de chômage</w:t>
      </w:r>
    </w:p>
    <w:p w14:paraId="6E4C2D9A" w14:textId="77777777" w:rsidR="00603383" w:rsidRPr="00603383" w:rsidRDefault="00603383" w:rsidP="00603383">
      <w:r w:rsidRPr="00603383">
        <w:t xml:space="preserve">En 2024, le taux de chômage parmi les cinq plus grandes économies européennes va de 3,4 % en Allemagne à 11,35 % en Espagne. </w:t>
      </w:r>
      <w:r w:rsidRPr="00603383">
        <w:fldChar w:fldCharType="begin"/>
      </w:r>
      <w:r w:rsidRPr="00603383">
        <w:instrText>HYPERLINK "https://statista.com/statistics/1173907/unemployment-in-largest-european-countries" \t "_blank"</w:instrText>
      </w:r>
      <w:r w:rsidRPr="00603383">
        <w:fldChar w:fldCharType="separate"/>
      </w:r>
      <w:r w:rsidRPr="00603383">
        <w:rPr>
          <w:rStyle w:val="Hyperlink"/>
        </w:rPr>
        <w:t>statista</w:t>
      </w:r>
      <w:r w:rsidRPr="00603383">
        <w:fldChar w:fldCharType="end"/>
      </w:r>
    </w:p>
    <w:p w14:paraId="7B7E4EB9" w14:textId="77777777" w:rsidR="00603383" w:rsidRPr="00603383" w:rsidRDefault="00603383" w:rsidP="00603383">
      <w:r w:rsidRPr="00603383">
        <w:t xml:space="preserve">Les données détaillées par pays (taux de chômage 20-64 ans, décembre 2024) révèlent les écarts suivants : Espagne (11,0 %), Grèce (10,0 %), Finlande (7,8 %), Estonie (7,4 %), Lituanie (7,2 %), Lettonie (7,1 %), France (7,0 %), Italie (6,4 %), </w:t>
      </w:r>
      <w:r w:rsidRPr="00603383">
        <w:lastRenderedPageBreak/>
        <w:t xml:space="preserve">Portugal (6,3 %), Luxembourg (5,8 %), Belgique (5,4 %), Chypre (4,9 %), Autriche (4,9 %), Allemagne (3,3 %) et Pays-Bas (3,0 %). </w:t>
      </w:r>
      <w:r w:rsidRPr="00603383">
        <w:fldChar w:fldCharType="begin"/>
      </w:r>
      <w:r w:rsidRPr="00603383">
        <w:instrText>HYPERLINK "https://tradingeconomics.com/european-union/unemployment-rate-from-20-to-64-years-eurostat-data.html" \t "_blank"</w:instrText>
      </w:r>
      <w:r w:rsidRPr="00603383">
        <w:fldChar w:fldCharType="separate"/>
      </w:r>
      <w:r w:rsidRPr="00603383">
        <w:rPr>
          <w:rStyle w:val="Hyperlink"/>
        </w:rPr>
        <w:t>tradingeconomics</w:t>
      </w:r>
      <w:r w:rsidRPr="00603383">
        <w:fldChar w:fldCharType="end"/>
      </w:r>
    </w:p>
    <w:p w14:paraId="379F110F" w14:textId="77777777" w:rsidR="00603383" w:rsidRPr="00603383" w:rsidRDefault="00603383" w:rsidP="00603383">
      <w:r w:rsidRPr="00603383">
        <w:t xml:space="preserve">En ce qui concerne le chômage structurel de long terme, la Grèce enregistre le taux de chômage de longue durée le plus élevé de l'UE à 5,4 %, suivie de l'Espagne (3,8 %) et de la Slovaquie (3,5 %). À l'opposé, les Pays-Bas (0,5 %), Malte (0,7 %) affichent les taux les plus bas. </w:t>
      </w:r>
      <w:r w:rsidRPr="00603383">
        <w:fldChar w:fldCharType="begin"/>
      </w:r>
      <w:r w:rsidRPr="00603383">
        <w:instrText>HYPERLINK "https://ec.europa.eu/eurostat/web/products-eurostat-news/w/ddn-20250523-1" \t "_blank"</w:instrText>
      </w:r>
      <w:r w:rsidRPr="00603383">
        <w:fldChar w:fldCharType="separate"/>
      </w:r>
      <w:r w:rsidRPr="00603383">
        <w:rPr>
          <w:rStyle w:val="Hyperlink"/>
        </w:rPr>
        <w:t>Eurostat</w:t>
      </w:r>
      <w:r w:rsidRPr="00603383">
        <w:fldChar w:fldCharType="end"/>
      </w:r>
    </w:p>
    <w:p w14:paraId="6C5E3E0B" w14:textId="77777777" w:rsidR="00603383" w:rsidRPr="00603383" w:rsidRDefault="00603383" w:rsidP="00603383">
      <w:pPr>
        <w:rPr>
          <w:b/>
          <w:bCs/>
        </w:rPr>
      </w:pPr>
      <w:r w:rsidRPr="00603383">
        <w:rPr>
          <w:b/>
          <w:bCs/>
        </w:rPr>
        <w:t>2.3 Inflation</w:t>
      </w:r>
    </w:p>
    <w:p w14:paraId="767F24C7" w14:textId="77777777" w:rsidR="00603383" w:rsidRPr="00603383" w:rsidRDefault="00603383" w:rsidP="00603383">
      <w:r w:rsidRPr="00603383">
        <w:t xml:space="preserve">En 2025, le taux d'inflation annuel de la zone euro s'établit à 2,1 %, contre 2,4 % en 2024. Cependant, cette moyenne masque de fortes disparités. </w:t>
      </w:r>
      <w:r w:rsidRPr="00603383">
        <w:fldChar w:fldCharType="begin"/>
      </w:r>
      <w:r w:rsidRPr="00603383">
        <w:instrText>HYPERLINK "https://statista.com/statistics/267908/inflation-rate-in-eu-and-euro-area" \t "_blank"</w:instrText>
      </w:r>
      <w:r w:rsidRPr="00603383">
        <w:fldChar w:fldCharType="separate"/>
      </w:r>
      <w:r w:rsidRPr="00603383">
        <w:rPr>
          <w:rStyle w:val="Hyperlink"/>
        </w:rPr>
        <w:t>statista</w:t>
      </w:r>
      <w:r w:rsidRPr="00603383">
        <w:fldChar w:fldCharType="end"/>
      </w:r>
    </w:p>
    <w:p w14:paraId="06B2DF02" w14:textId="77777777" w:rsidR="00603383" w:rsidRPr="00603383" w:rsidRDefault="00603383" w:rsidP="00603383">
      <w:r w:rsidRPr="00603383">
        <w:t xml:space="preserve">En 2024, les performances économiques des pays de la zone euro varient significativement selon une tendance régionale marquée : la croissance est plus forte dans le sud, tandis que certaines économies clés du nord et de l'ouest de l'Europe se sont contractées ou ont à peine progressé. Au sommet de l'échelle des prix, la Finlande enregistre une inflation particulièrement faible, plafonnée par la faiblesse de son économie, tandis que la Lituanie présente aussi des lectures inférieures à 1 %. </w:t>
      </w:r>
      <w:r w:rsidRPr="00603383">
        <w:fldChar w:fldCharType="begin"/>
      </w:r>
      <w:r w:rsidRPr="00603383">
        <w:instrText>HYPERLINK "https://www.focus-economics.com/blog/eurozone-economic-outlook/" \t "_blank"</w:instrText>
      </w:r>
      <w:r w:rsidRPr="00603383">
        <w:fldChar w:fldCharType="separate"/>
      </w:r>
      <w:r w:rsidRPr="00603383">
        <w:rPr>
          <w:rStyle w:val="Hyperlink"/>
        </w:rPr>
        <w:t>FocusEconomics</w:t>
      </w:r>
      <w:r w:rsidRPr="00603383">
        <w:fldChar w:fldCharType="end"/>
      </w:r>
    </w:p>
    <w:p w14:paraId="1721F4D2" w14:textId="77777777" w:rsidR="00603383" w:rsidRPr="00603383" w:rsidRDefault="00603383" w:rsidP="00603383">
      <w:r w:rsidRPr="00603383">
        <w:t xml:space="preserve">En avril 2026, parmi les plus grandes économies de la zone euro, l'inflation s'accélère en Allemagne (2,9 %), France (2,5 %), Italie (2,9 %) et Espagne (3,5 %). </w:t>
      </w:r>
      <w:r w:rsidRPr="00603383">
        <w:fldChar w:fldCharType="begin"/>
      </w:r>
      <w:r w:rsidRPr="00603383">
        <w:instrText>HYPERLINK "https://tradingeconomics.com/euro-area/inflation-cpi" \t "_blank"</w:instrText>
      </w:r>
      <w:r w:rsidRPr="00603383">
        <w:fldChar w:fldCharType="separate"/>
      </w:r>
      <w:r w:rsidRPr="00603383">
        <w:rPr>
          <w:rStyle w:val="Hyperlink"/>
        </w:rPr>
        <w:t>TRADING ECONOMICS</w:t>
      </w:r>
      <w:r w:rsidRPr="00603383">
        <w:fldChar w:fldCharType="end"/>
      </w:r>
    </w:p>
    <w:p w14:paraId="0CB9CC66" w14:textId="77777777" w:rsidR="00603383" w:rsidRPr="00603383" w:rsidRDefault="00603383" w:rsidP="00603383">
      <w:pPr>
        <w:rPr>
          <w:b/>
          <w:bCs/>
        </w:rPr>
      </w:pPr>
      <w:r w:rsidRPr="00603383">
        <w:rPr>
          <w:b/>
          <w:bCs/>
        </w:rPr>
        <w:t>2.4 Dette publique (% du PIB)</w:t>
      </w:r>
    </w:p>
    <w:p w14:paraId="4EE309B2" w14:textId="77777777" w:rsidR="00603383" w:rsidRPr="00603383" w:rsidRDefault="00603383" w:rsidP="00603383">
      <w:r w:rsidRPr="00603383">
        <w:t xml:space="preserve">Les données de fin 2024 révèlent un écart abyssal entre États membres. Les douze pays de l'UE affichant des ratios dette/PIB supérieurs à 60 % sont en tête par : Grèce (154,2 %), Italie (134,9 %), France (113,2 %), Belgique (103,9 %) et Espagne (101,6 %). À l'opposé, les ratios les plus bas sont enregistrés en Estonie (23,5 %), Bulgarie (23,8 %), Luxembourg (26,3 %), Lituanie (38,0 %). </w:t>
      </w:r>
      <w:r w:rsidRPr="00603383">
        <w:fldChar w:fldCharType="begin"/>
      </w:r>
      <w:r w:rsidRPr="00603383">
        <w:instrText>HYPERLINK "https://ec.europa.eu/eurostat/statistics-explained/index.php?title=Structure_of_government_debt" \t "_blank"</w:instrText>
      </w:r>
      <w:r w:rsidRPr="00603383">
        <w:fldChar w:fldCharType="separate"/>
      </w:r>
      <w:r w:rsidRPr="00603383">
        <w:rPr>
          <w:rStyle w:val="Hyperlink"/>
        </w:rPr>
        <w:t>Eurostat</w:t>
      </w:r>
      <w:r w:rsidRPr="00603383">
        <w:fldChar w:fldCharType="end"/>
      </w:r>
    </w:p>
    <w:p w14:paraId="76F7C4AE" w14:textId="77777777" w:rsidR="00603383" w:rsidRPr="00603383" w:rsidRDefault="00603383" w:rsidP="00603383">
      <w:r w:rsidRPr="00603383">
        <w:t xml:space="preserve">Malgré ces niveaux élevés, l'Italie et la Grèce dégagent désormais des excédents primaires (respectivement +0,5 % et +4,8 % du PIB), ce qui leur permet de limiter l'impact des coûts de financement croissants sur leur dette publique. </w:t>
      </w:r>
      <w:r w:rsidRPr="00603383">
        <w:fldChar w:fldCharType="begin"/>
      </w:r>
      <w:r w:rsidRPr="00603383">
        <w:instrText>HYPERLINK "https://www.fxstreet.com/amp/analysis/eurozone-less-deficit-a-little-more-room-for-manoeuvre-202504241409" \t "_blank"</w:instrText>
      </w:r>
      <w:r w:rsidRPr="00603383">
        <w:fldChar w:fldCharType="separate"/>
      </w:r>
      <w:r w:rsidRPr="00603383">
        <w:rPr>
          <w:rStyle w:val="Hyperlink"/>
        </w:rPr>
        <w:t>fxstreet</w:t>
      </w:r>
      <w:r w:rsidRPr="00603383">
        <w:fldChar w:fldCharType="end"/>
      </w:r>
    </w:p>
    <w:p w14:paraId="1A41514E" w14:textId="77777777" w:rsidR="00603383" w:rsidRPr="00603383" w:rsidRDefault="00603383" w:rsidP="00603383">
      <w:pPr>
        <w:rPr>
          <w:b/>
          <w:bCs/>
        </w:rPr>
      </w:pPr>
      <w:r w:rsidRPr="00603383">
        <w:rPr>
          <w:b/>
          <w:bCs/>
        </w:rPr>
        <w:t>2.5 Croissance économique</w:t>
      </w:r>
    </w:p>
    <w:p w14:paraId="56D8EE2F" w14:textId="77777777" w:rsidR="00603383" w:rsidRPr="00603383" w:rsidRDefault="00603383" w:rsidP="00603383">
      <w:r w:rsidRPr="00603383">
        <w:t xml:space="preserve">Pour l'ensemble de l'année 2025, la croissance de la zone euro atteint 1,4 %, en légère accélération par rapport à 0,9 % en 2024. Au quatrième trimestre 2025, l'Espagne mène avec une croissance de 0,8 %, suivie des Pays-Bas (+0,5 %), tandis que l'Allemagne et l'Italie progressent de 0,3 % chacune et la France de seulement 0,2 %. </w:t>
      </w:r>
      <w:r w:rsidRPr="00603383">
        <w:fldChar w:fldCharType="begin"/>
      </w:r>
      <w:r w:rsidRPr="00603383">
        <w:instrText>HYPERLINK "https://tradingeconomics.com/euro-area/gdp-growth" \t "_blank"</w:instrText>
      </w:r>
      <w:r w:rsidRPr="00603383">
        <w:fldChar w:fldCharType="separate"/>
      </w:r>
      <w:r w:rsidRPr="00603383">
        <w:rPr>
          <w:rStyle w:val="Hyperlink"/>
        </w:rPr>
        <w:t>TRADING ECONOMICS</w:t>
      </w:r>
      <w:r w:rsidRPr="00603383">
        <w:fldChar w:fldCharType="end"/>
      </w:r>
    </w:p>
    <w:p w14:paraId="5B365A8A" w14:textId="77777777" w:rsidR="00603383" w:rsidRPr="00603383" w:rsidRDefault="00603383" w:rsidP="00603383">
      <w:r w:rsidRPr="00603383">
        <w:t xml:space="preserve">En 2024, la croissance économique présente une claire dichotomie géographique : les économies du Sud tendent à mieux performer car elles bénéficient davantage </w:t>
      </w:r>
      <w:r w:rsidRPr="00603383">
        <w:lastRenderedPageBreak/>
        <w:t xml:space="preserve">des fonds de relance de l'UE (par exemple, la Grèce a reçu l'équivalent de 16 % de son PIB contre seulement 0,7 % pour l'Allemagne) et sont plus dépendantes du tourisme, secteur en forte expansion. </w:t>
      </w:r>
      <w:r w:rsidRPr="00603383">
        <w:fldChar w:fldCharType="begin"/>
      </w:r>
      <w:r w:rsidRPr="00603383">
        <w:instrText>HYPERLINK "https://www.focus-economics.com/blog/eurozone-economic-outlook/" \t "_blank"</w:instrText>
      </w:r>
      <w:r w:rsidRPr="00603383">
        <w:fldChar w:fldCharType="separate"/>
      </w:r>
      <w:r w:rsidRPr="00603383">
        <w:rPr>
          <w:rStyle w:val="Hyperlink"/>
        </w:rPr>
        <w:t>FocusEconomics</w:t>
      </w:r>
      <w:r w:rsidRPr="00603383">
        <w:fldChar w:fldCharType="end"/>
      </w:r>
    </w:p>
    <w:p w14:paraId="4F3C3553" w14:textId="77777777" w:rsidR="00603383" w:rsidRPr="00603383" w:rsidRDefault="00603383" w:rsidP="00603383">
      <w:pPr>
        <w:rPr>
          <w:b/>
          <w:bCs/>
        </w:rPr>
      </w:pPr>
      <w:r w:rsidRPr="00603383">
        <w:rPr>
          <w:b/>
          <w:bCs/>
        </w:rPr>
        <w:t>2.6 Balance commerciale</w:t>
      </w:r>
    </w:p>
    <w:p w14:paraId="53D69F25" w14:textId="77777777" w:rsidR="00603383" w:rsidRPr="00603383" w:rsidRDefault="00603383" w:rsidP="00603383">
      <w:r w:rsidRPr="00603383">
        <w:t xml:space="preserve">La balance courante de la zone euro enregistre un excédent de 426 milliards d'euros (2,8 % du PIB) en 2024, contre un excédent de 243 milliards (1,7 % du PIB) l'année précédente. Cependant, cette agrégation masque des situations très différentes entre pays : certains (Allemagne, Pays-Bas, Irlande) dégagent d'importants excédents commerciaux, tandis que d'autres (Grèce, Chypre, pays baltes) sont structurellement déficitaires en raison de leur dépendance aux importations énergétiques. </w:t>
      </w:r>
      <w:r w:rsidRPr="00603383">
        <w:fldChar w:fldCharType="begin"/>
      </w:r>
      <w:r w:rsidRPr="00603383">
        <w:instrText>HYPERLINK "https://www.ecb.europa.eu/press/stats/bop/2025/html/ecb.bq250404~3a3bb7d212.en.html" \t "_blank"</w:instrText>
      </w:r>
      <w:r w:rsidRPr="00603383">
        <w:fldChar w:fldCharType="separate"/>
      </w:r>
      <w:r w:rsidRPr="00603383">
        <w:rPr>
          <w:rStyle w:val="Hyperlink"/>
        </w:rPr>
        <w:t>European Central Bank</w:t>
      </w:r>
      <w:r w:rsidRPr="00603383">
        <w:fldChar w:fldCharType="end"/>
      </w:r>
    </w:p>
    <w:p w14:paraId="6BA44127" w14:textId="77777777" w:rsidR="00603383" w:rsidRPr="00603383" w:rsidRDefault="00000000" w:rsidP="00603383">
      <w:r>
        <w:pict w14:anchorId="3A2025B1">
          <v:rect id="_x0000_i1027" style="width:0;height:1.5pt" o:hralign="center" o:hrstd="t" o:hr="t" fillcolor="#a0a0a0" stroked="f"/>
        </w:pict>
      </w:r>
    </w:p>
    <w:p w14:paraId="176478E5" w14:textId="77777777" w:rsidR="00603383" w:rsidRPr="00603383" w:rsidRDefault="00603383" w:rsidP="00603383">
      <w:pPr>
        <w:rPr>
          <w:b/>
          <w:bCs/>
        </w:rPr>
      </w:pPr>
      <w:r w:rsidRPr="00603383">
        <w:rPr>
          <w:b/>
          <w:bCs/>
        </w:rPr>
        <w:t>3. Conditions de vie</w:t>
      </w:r>
    </w:p>
    <w:p w14:paraId="047EA942" w14:textId="77777777" w:rsidR="00603383" w:rsidRPr="00603383" w:rsidRDefault="00603383" w:rsidP="00603383">
      <w:pPr>
        <w:rPr>
          <w:b/>
          <w:bCs/>
        </w:rPr>
      </w:pPr>
      <w:r w:rsidRPr="00603383">
        <w:rPr>
          <w:b/>
          <w:bCs/>
        </w:rPr>
        <w:t>3.1 Salaire médian / Revenu disponible médian</w:t>
      </w:r>
    </w:p>
    <w:p w14:paraId="0A300812" w14:textId="77777777" w:rsidR="00603383" w:rsidRPr="00603383" w:rsidRDefault="00603383" w:rsidP="00603383">
      <w:r w:rsidRPr="00603383">
        <w:t xml:space="preserve">En 2024, le revenu disponible annuel médian équivalisé s'établit à 21 245 SPA par habitant dans l'UE. À travers les pays, il varie de 37 781 SPA au Luxembourg et 29 758 SPA en Autriche, jusqu'à 11 199 SPA en Hongrie et 11 433 SPA en Slovaquie. </w:t>
      </w:r>
      <w:r w:rsidRPr="00603383">
        <w:fldChar w:fldCharType="begin"/>
      </w:r>
      <w:r w:rsidRPr="00603383">
        <w:instrText>HYPERLINK "https://ec.europa.eu/eurostat/statistics-explained/SEPDF/cache/67011.pdf" \t "_blank"</w:instrText>
      </w:r>
      <w:r w:rsidRPr="00603383">
        <w:fldChar w:fldCharType="separate"/>
      </w:r>
      <w:r w:rsidRPr="00603383">
        <w:rPr>
          <w:rStyle w:val="Hyperlink"/>
        </w:rPr>
        <w:t>europa</w:t>
      </w:r>
      <w:r w:rsidRPr="00603383">
        <w:fldChar w:fldCharType="end"/>
      </w:r>
    </w:p>
    <w:p w14:paraId="6FB24BC4" w14:textId="77777777" w:rsidR="00603383" w:rsidRPr="00603383" w:rsidRDefault="00603383" w:rsidP="00603383">
      <w:r w:rsidRPr="00603383">
        <w:t>Au sein de la zone euro spécifiquement, ce ratio implique que le revenu médian du Luxembourg est environ 3,4 fois supérieur à celui des pays membres les plus pauvres — une disparité considérable pour une zone monétaire unifiée.</w:t>
      </w:r>
    </w:p>
    <w:p w14:paraId="26118502" w14:textId="77777777" w:rsidR="00603383" w:rsidRPr="00603383" w:rsidRDefault="00603383" w:rsidP="00603383">
      <w:pPr>
        <w:rPr>
          <w:b/>
          <w:bCs/>
        </w:rPr>
      </w:pPr>
      <w:r w:rsidRPr="00603383">
        <w:rPr>
          <w:b/>
          <w:bCs/>
        </w:rPr>
        <w:t>3.2 Taux de pauvreté</w:t>
      </w:r>
    </w:p>
    <w:p w14:paraId="0928594C" w14:textId="77777777" w:rsidR="00603383" w:rsidRPr="00603383" w:rsidRDefault="00603383" w:rsidP="00603383">
      <w:r w:rsidRPr="00603383">
        <w:t xml:space="preserve">Au niveau de l'UE, le taux de risque de pauvreté (AROP) reste stable à 16,2 % selon les résultats EU-SILC 2024. Les taux les plus élevés sont enregistrés en Bulgarie (21,7 %), Lettonie (21,6 %) et Lituanie (21,5 %), tandis que le Danemark, la Belgique et la Tchéquie rapportent les taux les plus bas (autour de 11,6 %). </w:t>
      </w:r>
      <w:r w:rsidRPr="00603383">
        <w:fldChar w:fldCharType="begin"/>
      </w:r>
      <w:r w:rsidRPr="00603383">
        <w:instrText>HYPERLINK "https://ec.europa.eu/eurostat/statistics-explained/index.php?title=Latest_developments_in_income_dynamics_and_poverty" \t "_blank"</w:instrText>
      </w:r>
      <w:r w:rsidRPr="00603383">
        <w:fldChar w:fldCharType="separate"/>
      </w:r>
      <w:r w:rsidRPr="00603383">
        <w:rPr>
          <w:rStyle w:val="Hyperlink"/>
        </w:rPr>
        <w:t>Eurostat</w:t>
      </w:r>
      <w:r w:rsidRPr="00603383">
        <w:fldChar w:fldCharType="end"/>
      </w:r>
    </w:p>
    <w:p w14:paraId="6BF67B98" w14:textId="77777777" w:rsidR="00603383" w:rsidRPr="00603383" w:rsidRDefault="00603383" w:rsidP="00603383">
      <w:r w:rsidRPr="00603383">
        <w:t xml:space="preserve">Pour ce qui est de la profondeur relative de la pauvreté (seuil à 40 % du revenu médian), les pays de la zone euro les plus touchés sont la Lettonie (9,1 %), l'Espagne (8,4 %), la Croatie (8,4 %), la Lituanie (8,2 %), l'Italie (7,5 %) et la Grèce (7,0 %), contre des taux très faibles aux Pays-Bas (2,7 %), à Chypre (2,6 %) et en Belgique (2,3 %). </w:t>
      </w:r>
      <w:r w:rsidRPr="00603383">
        <w:fldChar w:fldCharType="begin"/>
      </w:r>
      <w:r w:rsidRPr="00603383">
        <w:instrText>HYPERLINK "https://tradingeconomics.com/euro-area/dispersion-around-the-at-risk-of-poverty-threshold-at-risk-of-poverty-rate-cut-off-point-40percent-of-median-equivalised-income-eurostat-data.html" \t "_blank"</w:instrText>
      </w:r>
      <w:r w:rsidRPr="00603383">
        <w:fldChar w:fldCharType="separate"/>
      </w:r>
      <w:r w:rsidRPr="00603383">
        <w:rPr>
          <w:rStyle w:val="Hyperlink"/>
        </w:rPr>
        <w:t>tradingeconomics</w:t>
      </w:r>
      <w:r w:rsidRPr="00603383">
        <w:fldChar w:fldCharType="end"/>
      </w:r>
    </w:p>
    <w:p w14:paraId="69F05EE4" w14:textId="77777777" w:rsidR="00603383" w:rsidRPr="00603383" w:rsidRDefault="00603383" w:rsidP="00603383">
      <w:pPr>
        <w:rPr>
          <w:b/>
          <w:bCs/>
        </w:rPr>
      </w:pPr>
      <w:r w:rsidRPr="00603383">
        <w:rPr>
          <w:b/>
          <w:bCs/>
        </w:rPr>
        <w:t>3.3 Indice de Gini (inégalités)</w:t>
      </w:r>
    </w:p>
    <w:p w14:paraId="45754797" w14:textId="77777777" w:rsidR="00603383" w:rsidRPr="00603383" w:rsidRDefault="00603383" w:rsidP="00603383">
      <w:r w:rsidRPr="00603383">
        <w:t xml:space="preserve">En 2024, le coefficient de Gini pour l'UE s'établit à 29,4. Les niveaux d'inégalité les plus élevés sont enregistrés en Bulgarie (38,4), Lituanie (35,3) et Lettonie (34,2), </w:t>
      </w:r>
      <w:r w:rsidRPr="00603383">
        <w:lastRenderedPageBreak/>
        <w:t xml:space="preserve">tandis que les plus faibles se trouvent en Slovaquie (21,7), Tchéquie (23,7) et Slovénie (23,8). </w:t>
      </w:r>
      <w:r w:rsidRPr="00603383">
        <w:fldChar w:fldCharType="begin"/>
      </w:r>
      <w:r w:rsidRPr="00603383">
        <w:instrText>HYPERLINK "https://ec.europa.eu/eurostat/statistics-explained/index.php?title=Living_conditions_in_Europe_-_income_distribution_and_income_inequality&amp;stable=0" \t "_blank"</w:instrText>
      </w:r>
      <w:r w:rsidRPr="00603383">
        <w:fldChar w:fldCharType="separate"/>
      </w:r>
      <w:r w:rsidRPr="00603383">
        <w:rPr>
          <w:rStyle w:val="Hyperlink"/>
        </w:rPr>
        <w:t>Eurostat</w:t>
      </w:r>
      <w:r w:rsidRPr="00603383">
        <w:fldChar w:fldCharType="end"/>
      </w:r>
    </w:p>
    <w:p w14:paraId="3F4841E0" w14:textId="77777777" w:rsidR="00603383" w:rsidRPr="00603383" w:rsidRDefault="00603383" w:rsidP="00603383">
      <w:r w:rsidRPr="00603383">
        <w:t>Au sein de la zone euro, les pays présentant les inégalités les plus fortes sont les États baltes et les pays d'Europe du Sud (Italie, Espagne, Grèce), tandis que les économies d'Europe centrale et les petits États comme la Slovénie présentent les distributions les plus égalitaires.</w:t>
      </w:r>
    </w:p>
    <w:p w14:paraId="5213F5EE" w14:textId="77777777" w:rsidR="00603383" w:rsidRPr="00603383" w:rsidRDefault="00603383" w:rsidP="00603383">
      <w:pPr>
        <w:rPr>
          <w:b/>
          <w:bCs/>
        </w:rPr>
      </w:pPr>
      <w:r w:rsidRPr="00603383">
        <w:rPr>
          <w:b/>
          <w:bCs/>
        </w:rPr>
        <w:t>3.4 Espérance de vie</w:t>
      </w:r>
    </w:p>
    <w:p w14:paraId="62CE9735" w14:textId="77777777" w:rsidR="00603383" w:rsidRPr="00603383" w:rsidRDefault="00603383" w:rsidP="00603383">
      <w:r w:rsidRPr="00603383">
        <w:t xml:space="preserve">Selon les données préliminaires 2024, l'espérance de vie à la naissance dans l'UE est de 81,7 ans, en hausse de 0,3 an par rapport à 2023. L'espérance de vie la plus élevée est enregistrée en Italie et en Suède (toutes deux à 84,1 ans) et en Espagne (84,0 ans). Les valeurs les plus basses sont enregistrées en Bulgarie (75,9 ans), Roumanie (76,6 ans) et Lettonie (76,7 ans). </w:t>
      </w:r>
      <w:r w:rsidRPr="00603383">
        <w:fldChar w:fldCharType="begin"/>
      </w:r>
      <w:r w:rsidRPr="00603383">
        <w:instrText>HYPERLINK "https://ec.europa.eu/eurostat/web/products-eurostat-news/w/ddn-20250911-1" \t "_blank"</w:instrText>
      </w:r>
      <w:r w:rsidRPr="00603383">
        <w:fldChar w:fldCharType="separate"/>
      </w:r>
      <w:r w:rsidRPr="00603383">
        <w:rPr>
          <w:rStyle w:val="Hyperlink"/>
        </w:rPr>
        <w:t>europa</w:t>
      </w:r>
      <w:r w:rsidRPr="00603383">
        <w:fldChar w:fldCharType="end"/>
      </w:r>
    </w:p>
    <w:p w14:paraId="2A8BADBD" w14:textId="77777777" w:rsidR="00603383" w:rsidRPr="00603383" w:rsidRDefault="00603383" w:rsidP="00603383">
      <w:r w:rsidRPr="00603383">
        <w:t>Au sein de la zone euro, on observe donc un écart d'environ 8 ans entre les pays du Sud méditerranéen (Italie, Espagne, Malte) et les pays baltes (Lettonie, Lituanie, Estonie), reflétant des différences profondes dans les systèmes de santé, les modes de vie et la qualité des infrastructures sociales.</w:t>
      </w:r>
    </w:p>
    <w:p w14:paraId="4B94EB33" w14:textId="77777777" w:rsidR="00603383" w:rsidRPr="00603383" w:rsidRDefault="00603383" w:rsidP="00603383">
      <w:pPr>
        <w:rPr>
          <w:b/>
          <w:bCs/>
        </w:rPr>
      </w:pPr>
      <w:r w:rsidRPr="00603383">
        <w:rPr>
          <w:b/>
          <w:bCs/>
        </w:rPr>
        <w:t>3.5 Taux de privation matérielle</w:t>
      </w:r>
    </w:p>
    <w:p w14:paraId="2B0FDE91" w14:textId="77777777" w:rsidR="00603383" w:rsidRPr="00603383" w:rsidRDefault="00603383" w:rsidP="00603383">
      <w:r w:rsidRPr="00603383">
        <w:t xml:space="preserve">La pauvreté en Europe (2024) est mesurée par la part de personnes à risque de pauvreté ou d'exclusion sociale. Les individus sont inclus s'ils ne peuvent pas se permettre au moins sept des treize éléments de base : supporter une dépense imprévue, maintenir leur logement au chaud, disposer d'une connexion Internet, etc. </w:t>
      </w:r>
      <w:r w:rsidRPr="00603383">
        <w:fldChar w:fldCharType="begin"/>
      </w:r>
      <w:r w:rsidRPr="00603383">
        <w:instrText>HYPERLINK "https://www.visualcapitalist.com/mapped-europes-poverty-rates-by-country/" \t "_blank"</w:instrText>
      </w:r>
      <w:r w:rsidRPr="00603383">
        <w:fldChar w:fldCharType="separate"/>
      </w:r>
      <w:r w:rsidRPr="00603383">
        <w:rPr>
          <w:rStyle w:val="Hyperlink"/>
        </w:rPr>
        <w:t>Visual Capitalist</w:t>
      </w:r>
      <w:r w:rsidRPr="00603383">
        <w:fldChar w:fldCharType="end"/>
      </w:r>
    </w:p>
    <w:p w14:paraId="1ADA2EC1" w14:textId="77777777" w:rsidR="00603383" w:rsidRPr="00603383" w:rsidRDefault="00603383" w:rsidP="00603383">
      <w:r w:rsidRPr="00603383">
        <w:t>Les données de privation matérielle sévère (incapacité à accéder à 7 critères ou plus) montrent des écarts très importants au sein de la zone euro : les pays baltes, la Slovaquie, la Slovénie, la Croatie et la Grèce présentent des taux nettement supérieurs à la moyenne, tandis que l'Autriche, les Pays-Bas, le Luxembourg et la Belgique affichent des taux très faibles.</w:t>
      </w:r>
    </w:p>
    <w:p w14:paraId="3F405FEE" w14:textId="77777777" w:rsidR="00603383" w:rsidRPr="00603383" w:rsidRDefault="00000000" w:rsidP="00603383">
      <w:r>
        <w:pict w14:anchorId="7E52C7EC">
          <v:rect id="_x0000_i1028" style="width:0;height:1.5pt" o:hralign="center" o:hrstd="t" o:hr="t" fillcolor="#a0a0a0" stroked="f"/>
        </w:pict>
      </w:r>
    </w:p>
    <w:p w14:paraId="23AD01AF" w14:textId="77777777" w:rsidR="00603383" w:rsidRPr="00603383" w:rsidRDefault="00603383" w:rsidP="00603383">
      <w:pPr>
        <w:rPr>
          <w:b/>
          <w:bCs/>
        </w:rPr>
      </w:pPr>
      <w:r w:rsidRPr="00603383">
        <w:rPr>
          <w:b/>
          <w:bCs/>
        </w:rPr>
        <w:t>4. Analyse transversale : hétérogénéité de la zone euro</w:t>
      </w:r>
    </w:p>
    <w:p w14:paraId="3F265058" w14:textId="77777777" w:rsidR="00603383" w:rsidRPr="00603383" w:rsidRDefault="00603383" w:rsidP="00603383">
      <w:pPr>
        <w:rPr>
          <w:b/>
          <w:bCs/>
        </w:rPr>
      </w:pPr>
      <w:r w:rsidRPr="00603383">
        <w:rPr>
          <w:b/>
          <w:bCs/>
        </w:rPr>
        <w:t>4.1 La dichotomie Nord/Sud et Centre/Périphérie</w:t>
      </w:r>
    </w:p>
    <w:p w14:paraId="3BE51B88" w14:textId="77777777" w:rsidR="00603383" w:rsidRPr="00603383" w:rsidRDefault="00603383" w:rsidP="00603383">
      <w:r w:rsidRPr="00603383">
        <w:t xml:space="preserve">Les données collectées confirment une fracture structurelle bien documentée. Une analyse descriptive des principaux indicateurs nominaux et réels confirme la dichotomie cœur-périphérie au sein des membres fondateurs de la zone euro (EZ12), ainsi que la position spécifique des membres plus récents. </w:t>
      </w:r>
      <w:r w:rsidRPr="00603383">
        <w:fldChar w:fldCharType="begin"/>
      </w:r>
      <w:r w:rsidRPr="00603383">
        <w:instrText>HYPERLINK "https://www.researchgate.net/publication/353702812_The_Eurozone_an_Optimal_Currency_Area" \t "_blank"</w:instrText>
      </w:r>
      <w:r w:rsidRPr="00603383">
        <w:fldChar w:fldCharType="separate"/>
      </w:r>
      <w:r w:rsidRPr="00603383">
        <w:rPr>
          <w:rStyle w:val="Hyperlink"/>
        </w:rPr>
        <w:t>ResearchGate</w:t>
      </w:r>
      <w:r w:rsidRPr="00603383">
        <w:fldChar w:fldCharType="end"/>
      </w:r>
    </w:p>
    <w:p w14:paraId="5F5E08E5" w14:textId="77777777" w:rsidR="00603383" w:rsidRPr="00603383" w:rsidRDefault="00603383" w:rsidP="00603383">
      <w:r w:rsidRPr="00603383">
        <w:lastRenderedPageBreak/>
        <w:t xml:space="preserve">En ce qui concerne la transmission de la politique monétaire de la BCE (canal des taux d'intérêt), les résultats indiquent que ce canal fonctionne de manière contra-cyclique en général. Cependant, si l'effet stabilisateur est évident pour le noyau dur (notamment l'Allemagne), il est quasi absent dans le cas de la Grèce. </w:t>
      </w:r>
      <w:r w:rsidRPr="00603383">
        <w:fldChar w:fldCharType="begin"/>
      </w:r>
      <w:r w:rsidRPr="00603383">
        <w:instrText>HYPERLINK "https://www.researchgate.net/publication/353702812_The_Eurozone_an_Optimal_Currency_Area" \t "_blank"</w:instrText>
      </w:r>
      <w:r w:rsidRPr="00603383">
        <w:fldChar w:fldCharType="separate"/>
      </w:r>
      <w:r w:rsidRPr="00603383">
        <w:rPr>
          <w:rStyle w:val="Hyperlink"/>
        </w:rPr>
        <w:t>ResearchGate</w:t>
      </w:r>
      <w:r w:rsidRPr="00603383">
        <w:fldChar w:fldCharType="end"/>
      </w:r>
    </w:p>
    <w:p w14:paraId="358826E3" w14:textId="77777777" w:rsidR="00603383" w:rsidRPr="00603383" w:rsidRDefault="00603383" w:rsidP="00603383">
      <w:pPr>
        <w:rPr>
          <w:b/>
          <w:bCs/>
        </w:rPr>
      </w:pPr>
      <w:r w:rsidRPr="00603383">
        <w:rPr>
          <w:b/>
          <w:bCs/>
        </w:rPr>
        <w:t>4.2 Synchronisation des cycles économiques</w:t>
      </w:r>
    </w:p>
    <w:p w14:paraId="4348A94F" w14:textId="77777777" w:rsidR="00603383" w:rsidRPr="00603383" w:rsidRDefault="00603383" w:rsidP="00603383">
      <w:r w:rsidRPr="00603383">
        <w:t xml:space="preserve">L'indice de conditions optimales pour une zone monétaire (OCA) est lent à évoluer et reflète les structures économiques sous-jacentes changeantes au sein de la zone euro. Les résultats montrent que le degré de synchronisation des cycles économiques entre pays présente des variations importantes dans le temps, déterminées par la part des chocs symétriques par rapport aux chocs asymétriques. La crise du COVID-19 a conduit à une divergence économique accrue au sein de la zone euro. </w:t>
      </w:r>
      <w:r w:rsidRPr="00603383">
        <w:fldChar w:fldCharType="begin"/>
      </w:r>
      <w:r w:rsidRPr="00603383">
        <w:instrText>HYPERLINK "https://www.ecb.europa.eu/pub/pdf/scpwps/ecb.wp2730~75e621eb1d.en.pdf" \t "_blank"</w:instrText>
      </w:r>
      <w:r w:rsidRPr="00603383">
        <w:fldChar w:fldCharType="separate"/>
      </w:r>
      <w:r w:rsidRPr="00603383">
        <w:rPr>
          <w:rStyle w:val="Hyperlink"/>
        </w:rPr>
        <w:t>European Central Bank</w:t>
      </w:r>
      <w:r w:rsidRPr="00603383">
        <w:fldChar w:fldCharType="end"/>
      </w:r>
    </w:p>
    <w:p w14:paraId="5594032E" w14:textId="77777777" w:rsidR="00603383" w:rsidRPr="00603383" w:rsidRDefault="00603383" w:rsidP="00603383">
      <w:r w:rsidRPr="00603383">
        <w:t xml:space="preserve">Une étude utilisant un modèle à facteurs dynamiques bayésiens sur 59 régions de la zone euro (1992-2020) observe une divergence des cycles économiques : 46 régions ont connu une baisse de la part de variance expliquée par le facteur européen commun entre 1992-2005 et 2006-2020. Ces résultats contredisent les prédictions de la Commission européenne qui anticipait une convergence. </w:t>
      </w:r>
      <w:r w:rsidRPr="00603383">
        <w:fldChar w:fldCharType="begin"/>
      </w:r>
      <w:r w:rsidRPr="00603383">
        <w:instrText>HYPERLINK "https://link.springer.com/article/10.1007/s11079-024-09750-z" \t "_blank"</w:instrText>
      </w:r>
      <w:r w:rsidRPr="00603383">
        <w:fldChar w:fldCharType="separate"/>
      </w:r>
      <w:r w:rsidRPr="00603383">
        <w:rPr>
          <w:rStyle w:val="Hyperlink"/>
        </w:rPr>
        <w:t>Springer</w:t>
      </w:r>
      <w:r w:rsidRPr="00603383">
        <w:fldChar w:fldCharType="end"/>
      </w:r>
    </w:p>
    <w:p w14:paraId="2A4AE07E" w14:textId="77777777" w:rsidR="00603383" w:rsidRPr="00603383" w:rsidRDefault="00603383" w:rsidP="00603383">
      <w:pPr>
        <w:rPr>
          <w:b/>
          <w:bCs/>
        </w:rPr>
      </w:pPr>
      <w:r w:rsidRPr="00603383">
        <w:rPr>
          <w:b/>
          <w:bCs/>
        </w:rPr>
        <w:t>4.3 La zone euro : une zone monétaire optimale incomplète</w:t>
      </w:r>
    </w:p>
    <w:p w14:paraId="15930104" w14:textId="77777777" w:rsidR="00603383" w:rsidRPr="00603383" w:rsidRDefault="00603383" w:rsidP="00603383">
      <w:r w:rsidRPr="00603383">
        <w:t xml:space="preserve">Bien que l'intégration commerciale et financière ait progressé, notamment entre les pays du noyau dur, d'importantes disparités persistent dans les marchés du travail, les tendances des prix et les performances économiques. La synchronisation des cycles économiques reste incomplète, ce qui complique la mise en œuvre d'une politique monétaire unique. De plus, l'absence d'un mécanisme fiscal centralisé limite la capacité de la zone euro à atténuer les chocs asymétriques. </w:t>
      </w:r>
      <w:r w:rsidRPr="00603383">
        <w:fldChar w:fldCharType="begin"/>
      </w:r>
      <w:r w:rsidRPr="00603383">
        <w:instrText>HYPERLINK "https://www.researchgate.net/publication/398621955_The_Eurozone_and_the_Optimal_Currency_Area_Theory_A_Critical_Evaluation" \t "_blank"</w:instrText>
      </w:r>
      <w:r w:rsidRPr="00603383">
        <w:fldChar w:fldCharType="separate"/>
      </w:r>
      <w:r w:rsidRPr="00603383">
        <w:rPr>
          <w:rStyle w:val="Hyperlink"/>
        </w:rPr>
        <w:t>ResearchGate</w:t>
      </w:r>
      <w:r w:rsidRPr="00603383">
        <w:fldChar w:fldCharType="end"/>
      </w:r>
    </w:p>
    <w:p w14:paraId="439AB59E" w14:textId="77777777" w:rsidR="00603383" w:rsidRPr="00603383" w:rsidRDefault="00603383" w:rsidP="00603383">
      <w:r w:rsidRPr="00603383">
        <w:t xml:space="preserve">Contrairement aux États-Unis, l'UE ne dispose pas de transferts fiscaux automatiques entre régions, ce qui se traduit par des réponses plus lentes et moins efficaces aux récessions. L'étude conclut que la zone euro ne constitue qu'une zone monétaire optimale partielle. </w:t>
      </w:r>
      <w:r w:rsidRPr="00603383">
        <w:fldChar w:fldCharType="begin"/>
      </w:r>
      <w:r w:rsidRPr="00603383">
        <w:instrText>HYPERLINK "https://www.researchgate.net/publication/398621955_The_Eurozone_and_the_Optimal_Currency_Area_Theory_A_Critical_Evaluation" \t "_blank"</w:instrText>
      </w:r>
      <w:r w:rsidRPr="00603383">
        <w:fldChar w:fldCharType="separate"/>
      </w:r>
      <w:r w:rsidRPr="00603383">
        <w:rPr>
          <w:rStyle w:val="Hyperlink"/>
        </w:rPr>
        <w:t>ResearchGate</w:t>
      </w:r>
      <w:r w:rsidRPr="00603383">
        <w:fldChar w:fldCharType="end"/>
      </w:r>
    </w:p>
    <w:p w14:paraId="21364CF6" w14:textId="77777777" w:rsidR="00603383" w:rsidRPr="00603383" w:rsidRDefault="00603383" w:rsidP="00603383">
      <w:r w:rsidRPr="00603383">
        <w:t xml:space="preserve">Les taux d'inflation alternent entre des périodes de convergence et de divergence, bien que les niveaux de prix convergent de manière constante entre les pays de l'UEM. L'indiscipline budgétaire est fréquente, empêchant plusieurs pays de disposer de marges de manœuvre fiscales pour faire face aux chocs asymétriques. Des différences dans la croissance des coûts unitaires du travail, la dissimilarité commerciale et les différences de croissance de la production ont été identifiées </w:t>
      </w:r>
      <w:r w:rsidRPr="00603383">
        <w:lastRenderedPageBreak/>
        <w:t>comme des causes de la divergence de compétitivité entre certains pays membres.</w:t>
      </w:r>
    </w:p>
    <w:p w14:paraId="1E260E25" w14:textId="77777777" w:rsidR="00923C1B" w:rsidRDefault="00923C1B"/>
    <w:p w14:paraId="2C96F001" w14:textId="2C39C081" w:rsidR="00603383" w:rsidRDefault="00603383">
      <w:r w:rsidRPr="00603383">
        <w:t>5. Récapitulatif des données collectées par pays (zone euro, 2024)</w:t>
      </w:r>
    </w:p>
    <w:p w14:paraId="1829F0FB" w14:textId="77777777" w:rsidR="00603383" w:rsidRDefault="00603383"/>
    <w:p w14:paraId="712E95F3" w14:textId="77777777" w:rsidR="00603383" w:rsidRDefault="00603383"/>
    <w:p w14:paraId="3C68D631" w14:textId="75FFBAF3" w:rsidR="00603383" w:rsidRDefault="00603383">
      <w:r w:rsidRPr="00603383">
        <w:t>(Sources : Eurostat, 2024–2025 ; PIB en SPA = standards de pouvoir d'achat)</w:t>
      </w:r>
    </w:p>
    <w:p w14:paraId="47A949C9" w14:textId="77777777" w:rsidR="00DC2B07" w:rsidRDefault="00DC2B07"/>
    <w:p w14:paraId="4EB6485A" w14:textId="77777777" w:rsidR="00DC2B07" w:rsidRPr="00DC2B07" w:rsidRDefault="00DC2B07" w:rsidP="00DC2B07">
      <w:pPr>
        <w:rPr>
          <w:b/>
          <w:bCs/>
        </w:rPr>
      </w:pPr>
      <w:r w:rsidRPr="00DC2B07">
        <w:rPr>
          <w:b/>
          <w:bCs/>
        </w:rPr>
        <w:t>6. Réponse à la question de fond</w:t>
      </w:r>
    </w:p>
    <w:p w14:paraId="4202837B" w14:textId="77777777" w:rsidR="00DC2B07" w:rsidRPr="00DC2B07" w:rsidRDefault="00DC2B07" w:rsidP="00DC2B07">
      <w:r w:rsidRPr="00DC2B07">
        <w:t xml:space="preserve">La question — </w:t>
      </w:r>
      <w:r w:rsidRPr="00DC2B07">
        <w:rPr>
          <w:b/>
          <w:bCs/>
        </w:rPr>
        <w:t>« Est-il réellement pertinent de regrouper tous ces pays dans une même union monétaire ? »</w:t>
      </w:r>
      <w:r w:rsidRPr="00DC2B07">
        <w:t xml:space="preserve"> — se heurte à une réalité empirique nuancée.</w:t>
      </w:r>
    </w:p>
    <w:p w14:paraId="757AD6E7" w14:textId="77777777" w:rsidR="00DC2B07" w:rsidRPr="00DC2B07" w:rsidRDefault="00DC2B07" w:rsidP="00DC2B07">
      <w:pPr>
        <w:rPr>
          <w:b/>
          <w:bCs/>
        </w:rPr>
      </w:pPr>
      <w:r w:rsidRPr="00DC2B07">
        <w:rPr>
          <w:b/>
          <w:bCs/>
        </w:rPr>
        <w:t>Arguments en faveur de l'hétérogénéité problématique</w:t>
      </w:r>
    </w:p>
    <w:p w14:paraId="0493583A" w14:textId="77777777" w:rsidR="00DC2B07" w:rsidRPr="00DC2B07" w:rsidRDefault="00DC2B07" w:rsidP="00DC2B07">
      <w:r w:rsidRPr="00DC2B07">
        <w:t>Les données mettent en lumière des divergences profondes sur chacun des indicateurs clés :</w:t>
      </w:r>
    </w:p>
    <w:p w14:paraId="23AC69BC" w14:textId="77777777" w:rsidR="00DC2B07" w:rsidRPr="00DC2B07" w:rsidRDefault="00DC2B07" w:rsidP="00DC2B07">
      <w:r w:rsidRPr="00DC2B07">
        <w:rPr>
          <w:b/>
          <w:bCs/>
        </w:rPr>
        <w:t>Sur le plan économique :</w:t>
      </w:r>
      <w:r w:rsidRPr="00DC2B07">
        <w:t xml:space="preserve"> la hétérogénéité des positions de balance courante entre pays s'est accrue, même si elle reste en-deçà des niveaux observés avant la crise de la dette souveraine de la zone euro. L'écart de taux de chômage entre l'Espagne (11 %) et les Pays-Bas ou l'Allemagne (3–3,5 %) illustre que le marché du travail réagit différemment aux chocs communs. De même, le ratio dette/PIB varie de 23,5 % (Estonie) à 154,2 % (Grèce) — soit un facteur de 1 à 6,5, rendant la politique monétaire unique particulièrement inadaptée à la fois pour les uns et pour les autres. </w:t>
      </w:r>
      <w:r w:rsidRPr="00DC2B07">
        <w:fldChar w:fldCharType="begin"/>
      </w:r>
      <w:r w:rsidRPr="00DC2B07">
        <w:instrText>HYPERLINK "https://www.oecd.org/en/publications/2025/07/oecd-economic-surveys-european-union-and-euro-area-2025_af6b738a/full-report/implementing-prudent-macroeconomic-policies_5c582e21.html" \t "_blank"</w:instrText>
      </w:r>
      <w:r w:rsidRPr="00DC2B07">
        <w:fldChar w:fldCharType="separate"/>
      </w:r>
      <w:r w:rsidRPr="00DC2B07">
        <w:rPr>
          <w:rStyle w:val="Hyperlink"/>
        </w:rPr>
        <w:t>OECD</w:t>
      </w:r>
      <w:r w:rsidRPr="00DC2B07">
        <w:fldChar w:fldCharType="end"/>
      </w:r>
    </w:p>
    <w:p w14:paraId="286121C6" w14:textId="77777777" w:rsidR="00DC2B07" w:rsidRPr="00DC2B07" w:rsidRDefault="00DC2B07" w:rsidP="00DC2B07">
      <w:r w:rsidRPr="00DC2B07">
        <w:rPr>
          <w:b/>
          <w:bCs/>
        </w:rPr>
        <w:t>Sur le plan de la politique monétaire :</w:t>
      </w:r>
      <w:r w:rsidRPr="00DC2B07">
        <w:t xml:space="preserve"> un taux directeur unique de la BCE ne peut pas simultanément être approprié pour une économie comme l'Espagne qui connaît une forte croissance et une inflation élevée, et pour une économie comme l'Allemagne ou la Finlande qui souffre de faible croissance ou de récession. En 2024, la croissance était plus forte dans le Sud, tandis que des économies clés du Nord et de l'Ouest se contractaient — une divergence cyclique que la politique monétaire unique ne peut corriger. </w:t>
      </w:r>
      <w:r w:rsidRPr="00DC2B07">
        <w:fldChar w:fldCharType="begin"/>
      </w:r>
      <w:r w:rsidRPr="00DC2B07">
        <w:instrText>HYPERLINK "https://www.focus-economics.com/blog/eurozone-economic-outlook/" \t "_blank"</w:instrText>
      </w:r>
      <w:r w:rsidRPr="00DC2B07">
        <w:fldChar w:fldCharType="separate"/>
      </w:r>
      <w:r w:rsidRPr="00DC2B07">
        <w:rPr>
          <w:rStyle w:val="Hyperlink"/>
        </w:rPr>
        <w:t>FocusEconomics</w:t>
      </w:r>
      <w:r w:rsidRPr="00DC2B07">
        <w:fldChar w:fldCharType="end"/>
      </w:r>
    </w:p>
    <w:p w14:paraId="31595F8E" w14:textId="77777777" w:rsidR="00DC2B07" w:rsidRPr="00DC2B07" w:rsidRDefault="00DC2B07" w:rsidP="00DC2B07">
      <w:r w:rsidRPr="00DC2B07">
        <w:rPr>
          <w:b/>
          <w:bCs/>
        </w:rPr>
        <w:t>Sur le plan des conditions de vie :</w:t>
      </w:r>
      <w:r w:rsidRPr="00DC2B07">
        <w:t xml:space="preserve"> le revenu médian du Luxembourg (37 781 SPA) est plus de trois fois supérieur à celui des pays membres les plus pauvres. L'espérance de vie varie de 75,9 ans (Bulgarie) à 84,1 ans (Italie, Suède), soit un écart de plus de 8 ans — révélateur de systèmes sociaux et de niveaux de développement fondamentalement différents.</w:t>
      </w:r>
    </w:p>
    <w:p w14:paraId="4CB38E05" w14:textId="77777777" w:rsidR="00DC2B07" w:rsidRPr="00DC2B07" w:rsidRDefault="00DC2B07" w:rsidP="00DC2B07">
      <w:pPr>
        <w:rPr>
          <w:b/>
          <w:bCs/>
        </w:rPr>
      </w:pPr>
      <w:r w:rsidRPr="00DC2B07">
        <w:rPr>
          <w:b/>
          <w:bCs/>
        </w:rPr>
        <w:lastRenderedPageBreak/>
        <w:t>Arguments tempérant ce constat</w:t>
      </w:r>
    </w:p>
    <w:p w14:paraId="1F5C41F1" w14:textId="77777777" w:rsidR="00DC2B07" w:rsidRPr="00DC2B07" w:rsidRDefault="00DC2B07" w:rsidP="00DC2B07">
      <w:r w:rsidRPr="00DC2B07">
        <w:t xml:space="preserve">Il convient cependant de ne pas conclure trop vite à l'inadaptation totale de la zone euro. L'intégration commerciale et financière a progressé, notamment entre les pays du noyau dur. De plus, pour améliorer le fonctionnement, la crédibilité et la résilience de la zone euro, une intégration fiscale plus poussée, une meilleure mobilité de la main-d'œuvre et des institutions plus solides sont recommandées — autant de pistes de réforme qui ne remettent pas nécessairement en cause l'existence de la monnaie unique, mais plaident pour son approfondissement. </w:t>
      </w:r>
      <w:r w:rsidRPr="00DC2B07">
        <w:fldChar w:fldCharType="begin"/>
      </w:r>
      <w:r w:rsidRPr="00DC2B07">
        <w:instrText>HYPERLINK "https://www.researchgate.net/publication/398621955_The_Eurozone_and_the_Optimal_Currency_Area_Theory_A_Critical_Evaluation" \t "_blank"</w:instrText>
      </w:r>
      <w:r w:rsidRPr="00DC2B07">
        <w:fldChar w:fldCharType="separate"/>
      </w:r>
      <w:r w:rsidRPr="00DC2B07">
        <w:rPr>
          <w:rStyle w:val="Hyperlink"/>
        </w:rPr>
        <w:t>ResearchGate</w:t>
      </w:r>
      <w:r w:rsidRPr="00DC2B07">
        <w:fldChar w:fldCharType="end"/>
      </w:r>
      <w:hyperlink r:id="rId5" w:tgtFrame="_blank" w:history="1">
        <w:r w:rsidRPr="00DC2B07">
          <w:rPr>
            <w:rStyle w:val="Hyperlink"/>
          </w:rPr>
          <w:t>ResearchGate</w:t>
        </w:r>
      </w:hyperlink>
    </w:p>
    <w:p w14:paraId="315A7226" w14:textId="77777777" w:rsidR="00DC2B07" w:rsidRPr="00DC2B07" w:rsidRDefault="00DC2B07" w:rsidP="00DC2B07">
      <w:pPr>
        <w:rPr>
          <w:b/>
          <w:bCs/>
        </w:rPr>
      </w:pPr>
      <w:r w:rsidRPr="00DC2B07">
        <w:rPr>
          <w:b/>
          <w:bCs/>
        </w:rPr>
        <w:t>Conclusion provisoire</w:t>
      </w:r>
    </w:p>
    <w:p w14:paraId="75D9ED19" w14:textId="77777777" w:rsidR="00DC2B07" w:rsidRPr="00DC2B07" w:rsidRDefault="00DC2B07" w:rsidP="00DC2B07">
      <w:r w:rsidRPr="00DC2B07">
        <w:t xml:space="preserve">La zone euro est une zone monétaire </w:t>
      </w:r>
      <w:r w:rsidRPr="00DC2B07">
        <w:rPr>
          <w:b/>
          <w:bCs/>
        </w:rPr>
        <w:t>partiellement</w:t>
      </w:r>
      <w:r w:rsidRPr="00DC2B07">
        <w:t xml:space="preserve"> optimale. Elle réunit des pays qui partagent une même monnaie mais </w:t>
      </w:r>
      <w:r w:rsidRPr="00DC2B07">
        <w:rPr>
          <w:b/>
          <w:bCs/>
        </w:rPr>
        <w:t>pas les mêmes cycles économiques, ni les mêmes niveaux de développement, ni les mêmes structures sociales</w:t>
      </w:r>
      <w:r w:rsidRPr="00DC2B07">
        <w:t xml:space="preserve">. L'absence d'un fédéralisme fiscal digne de ce nom (transferts automatiques, budget commun conséquent) amplifie les coûts de cette hétérogénéité. La pertinence de l'union monétaire dépend donc moins de l'homogénéité actuelle des membres que de la </w:t>
      </w:r>
      <w:r w:rsidRPr="00DC2B07">
        <w:rPr>
          <w:b/>
          <w:bCs/>
        </w:rPr>
        <w:t>volonté politique de construire les instruments de convergence</w:t>
      </w:r>
      <w:r w:rsidRPr="00DC2B07">
        <w:t xml:space="preserve"> qui manquent encore.</w:t>
      </w:r>
    </w:p>
    <w:p w14:paraId="4469DB5B" w14:textId="77777777" w:rsidR="00DC2B07" w:rsidRPr="00DC2B07" w:rsidRDefault="00000000" w:rsidP="00DC2B07">
      <w:r>
        <w:pict w14:anchorId="595C8DBC">
          <v:rect id="_x0000_i1029" style="width:0;height:1.5pt" o:hralign="center" o:hrstd="t" o:hr="t" fillcolor="#a0a0a0" stroked="f"/>
        </w:pict>
      </w:r>
    </w:p>
    <w:p w14:paraId="2C1114E4" w14:textId="77777777" w:rsidR="00DC2B07" w:rsidRPr="00DC2B07" w:rsidRDefault="00DC2B07" w:rsidP="00DC2B07">
      <w:r w:rsidRPr="00DC2B07">
        <w:rPr>
          <w:i/>
          <w:iCs/>
        </w:rPr>
        <w:t>Données principales issues de : Eurostat (EU-SILC, EDP, PPP), BCE, Trading Economics, FMI — millésime 2024/2025.</w:t>
      </w:r>
    </w:p>
    <w:p w14:paraId="12D8F688" w14:textId="34EE03CD" w:rsidR="00DC2B07" w:rsidRDefault="00137983" w:rsidP="004443EA">
      <w:pPr>
        <w:pBdr>
          <w:bottom w:val="single" w:sz="4" w:space="1" w:color="auto"/>
        </w:pBdr>
      </w:pPr>
      <w:r w:rsidRPr="00137983">
        <w:t>(Source : Eurostat / Touteleurope.eu, 2024 — valeurs en SPA, unité comparable à l'euro)</w:t>
      </w:r>
    </w:p>
    <w:p w14:paraId="322F7A35" w14:textId="77777777" w:rsidR="004443EA" w:rsidRPr="004443EA" w:rsidRDefault="004443EA" w:rsidP="004443EA">
      <w:pPr>
        <w:rPr>
          <w:lang w:val="pt-BR"/>
        </w:rPr>
      </w:pPr>
      <w:r w:rsidRPr="004443EA">
        <w:rPr>
          <w:lang w:val="pt-BR"/>
        </w:rPr>
        <w:t xml:space="preserve">Em economia, o </w:t>
      </w:r>
      <w:r w:rsidRPr="004443EA">
        <w:rPr>
          <w:b/>
          <w:bCs/>
          <w:lang w:val="pt-BR"/>
        </w:rPr>
        <w:t>Coeficiente de Gini</w:t>
      </w:r>
      <w:r w:rsidRPr="004443EA">
        <w:rPr>
          <w:lang w:val="pt-BR"/>
        </w:rPr>
        <w:t xml:space="preserve"> (ou Índice de Gini) é uma medida estatística utilizada para mensurar o nível de </w:t>
      </w:r>
      <w:r w:rsidRPr="004443EA">
        <w:rPr>
          <w:b/>
          <w:bCs/>
          <w:lang w:val="pt-BR"/>
        </w:rPr>
        <w:t>desigualdade de renda</w:t>
      </w:r>
      <w:r w:rsidRPr="004443EA">
        <w:rPr>
          <w:lang w:val="pt-BR"/>
        </w:rPr>
        <w:t xml:space="preserve"> ou de riqueza entre os indivíduos de uma determinada região ou país.</w:t>
      </w:r>
    </w:p>
    <w:p w14:paraId="62701599" w14:textId="77777777" w:rsidR="004443EA" w:rsidRPr="004443EA" w:rsidRDefault="004443EA" w:rsidP="004443EA">
      <w:pPr>
        <w:rPr>
          <w:b/>
          <w:bCs/>
          <w:lang w:val="pt-BR"/>
        </w:rPr>
      </w:pPr>
      <w:r w:rsidRPr="004443EA">
        <w:rPr>
          <w:b/>
          <w:bCs/>
          <w:lang w:val="pt-BR"/>
        </w:rPr>
        <w:t>Como funciona o cálculo?</w:t>
      </w:r>
    </w:p>
    <w:p w14:paraId="00F98054" w14:textId="77777777" w:rsidR="004443EA" w:rsidRPr="004443EA" w:rsidRDefault="004443EA" w:rsidP="004443EA">
      <w:pPr>
        <w:rPr>
          <w:lang w:val="pt-BR"/>
        </w:rPr>
      </w:pPr>
      <w:r w:rsidRPr="004443EA">
        <w:rPr>
          <w:lang w:val="pt-BR"/>
        </w:rPr>
        <w:t xml:space="preserve">O índice varia estritamente entre </w:t>
      </w:r>
      <w:r w:rsidRPr="004443EA">
        <w:rPr>
          <w:b/>
          <w:bCs/>
          <w:lang w:val="pt-BR"/>
        </w:rPr>
        <w:t>0</w:t>
      </w:r>
      <w:r w:rsidRPr="004443EA">
        <w:rPr>
          <w:lang w:val="pt-BR"/>
        </w:rPr>
        <w:t xml:space="preserve"> e </w:t>
      </w:r>
      <w:r w:rsidRPr="004443EA">
        <w:rPr>
          <w:b/>
          <w:bCs/>
          <w:lang w:val="pt-BR"/>
        </w:rPr>
        <w:t>1</w:t>
      </w:r>
      <w:r w:rsidRPr="004443EA">
        <w:rPr>
          <w:lang w:val="pt-BR"/>
        </w:rPr>
        <w:t xml:space="preserve"> (ou de 0 a 100, quando expresso em percentual):</w:t>
      </w:r>
    </w:p>
    <w:p w14:paraId="7EBCBFA6" w14:textId="77777777" w:rsidR="004443EA" w:rsidRPr="004443EA" w:rsidRDefault="004443EA" w:rsidP="004443EA">
      <w:pPr>
        <w:numPr>
          <w:ilvl w:val="0"/>
          <w:numId w:val="1"/>
        </w:numPr>
        <w:rPr>
          <w:lang w:val="pt-BR"/>
        </w:rPr>
      </w:pPr>
      <w:r w:rsidRPr="004443EA">
        <w:rPr>
          <w:b/>
          <w:bCs/>
          <w:lang w:val="pt-BR"/>
        </w:rPr>
        <w:t>0 (Igualdade Perfeita):</w:t>
      </w:r>
      <w:r w:rsidRPr="004443EA">
        <w:rPr>
          <w:lang w:val="pt-BR"/>
        </w:rPr>
        <w:t xml:space="preserve"> Significa que todas as pessoas possuem exatamente a mesma renda.</w:t>
      </w:r>
    </w:p>
    <w:p w14:paraId="2A1138CC" w14:textId="77777777" w:rsidR="004443EA" w:rsidRPr="004443EA" w:rsidRDefault="004443EA" w:rsidP="004443EA">
      <w:pPr>
        <w:numPr>
          <w:ilvl w:val="0"/>
          <w:numId w:val="1"/>
        </w:numPr>
        <w:rPr>
          <w:lang w:val="pt-BR"/>
        </w:rPr>
      </w:pPr>
      <w:r w:rsidRPr="004443EA">
        <w:rPr>
          <w:b/>
          <w:bCs/>
          <w:lang w:val="pt-BR"/>
        </w:rPr>
        <w:t>1 (Desigualdade Perfeita):</w:t>
      </w:r>
      <w:r w:rsidRPr="004443EA">
        <w:rPr>
          <w:lang w:val="pt-BR"/>
        </w:rPr>
        <w:t xml:space="preserve"> Significa que uma única pessoa detém toda a renda do país, enquanto o restante da população não possui nada.</w:t>
      </w:r>
    </w:p>
    <w:p w14:paraId="71BCA1EE" w14:textId="77777777" w:rsidR="004443EA" w:rsidRPr="004443EA" w:rsidRDefault="004443EA" w:rsidP="004443EA">
      <w:pPr>
        <w:rPr>
          <w:b/>
          <w:bCs/>
          <w:lang w:val="pt-BR"/>
        </w:rPr>
      </w:pPr>
      <w:r w:rsidRPr="004443EA">
        <w:rPr>
          <w:b/>
          <w:bCs/>
          <w:lang w:val="pt-BR"/>
        </w:rPr>
        <w:t>Representação Gráfica (Curva de Lorenz)</w:t>
      </w:r>
    </w:p>
    <w:p w14:paraId="6C9D0DA9" w14:textId="77777777" w:rsidR="004443EA" w:rsidRPr="004443EA" w:rsidRDefault="004443EA" w:rsidP="004443EA">
      <w:pPr>
        <w:rPr>
          <w:lang w:val="pt-BR"/>
        </w:rPr>
      </w:pPr>
      <w:r w:rsidRPr="004443EA">
        <w:rPr>
          <w:lang w:val="pt-BR"/>
        </w:rPr>
        <w:lastRenderedPageBreak/>
        <w:t xml:space="preserve">O cálculo do coeficiente baseia-se na </w:t>
      </w:r>
      <w:r w:rsidRPr="004443EA">
        <w:rPr>
          <w:b/>
          <w:bCs/>
          <w:lang w:val="pt-BR"/>
        </w:rPr>
        <w:t>Curva de Lorenz</w:t>
      </w:r>
      <w:r w:rsidRPr="004443EA">
        <w:rPr>
          <w:lang w:val="pt-BR"/>
        </w:rPr>
        <w:t>, que plota a porcentagem acumulada da renda nacional em relação à porcentagem acumulada da população.</w:t>
      </w:r>
    </w:p>
    <w:p w14:paraId="6022034E" w14:textId="77777777" w:rsidR="004443EA" w:rsidRPr="004443EA" w:rsidRDefault="004443EA" w:rsidP="004443EA">
      <w:pPr>
        <w:rPr>
          <w:lang w:val="pt-BR"/>
        </w:rPr>
      </w:pPr>
      <w:r w:rsidRPr="004443EA">
        <w:rPr>
          <w:lang w:val="pt-BR"/>
        </w:rPr>
        <w:t>Geometricamente, o Coeficiente de Gini ($G$) é calculado como:</w:t>
      </w:r>
    </w:p>
    <w:p w14:paraId="13E5AB5E" w14:textId="77777777" w:rsidR="004443EA" w:rsidRPr="004443EA" w:rsidRDefault="004443EA" w:rsidP="004443EA">
      <w:pPr>
        <w:rPr>
          <w:lang w:val="pt-BR"/>
        </w:rPr>
      </w:pPr>
      <w:r w:rsidRPr="004443EA">
        <w:rPr>
          <w:lang w:val="pt-BR"/>
        </w:rPr>
        <w:t>$$G = \</w:t>
      </w:r>
      <w:proofErr w:type="spellStart"/>
      <w:r w:rsidRPr="004443EA">
        <w:rPr>
          <w:lang w:val="pt-BR"/>
        </w:rPr>
        <w:t>frac</w:t>
      </w:r>
      <w:proofErr w:type="spellEnd"/>
      <w:r w:rsidRPr="004443EA">
        <w:rPr>
          <w:lang w:val="pt-BR"/>
        </w:rPr>
        <w:t>{A}{A + B}$$</w:t>
      </w:r>
    </w:p>
    <w:p w14:paraId="6CEBFB6E" w14:textId="77777777" w:rsidR="004443EA" w:rsidRPr="004443EA" w:rsidRDefault="004443EA" w:rsidP="004443EA">
      <w:pPr>
        <w:rPr>
          <w:lang w:val="pt-BR"/>
        </w:rPr>
      </w:pPr>
      <w:r w:rsidRPr="004443EA">
        <w:rPr>
          <w:lang w:val="pt-BR"/>
        </w:rPr>
        <w:t>Onde:</w:t>
      </w:r>
    </w:p>
    <w:p w14:paraId="34199356" w14:textId="77777777" w:rsidR="004443EA" w:rsidRPr="004443EA" w:rsidRDefault="004443EA" w:rsidP="004443EA">
      <w:pPr>
        <w:numPr>
          <w:ilvl w:val="0"/>
          <w:numId w:val="2"/>
        </w:numPr>
        <w:rPr>
          <w:lang w:val="pt-BR"/>
        </w:rPr>
      </w:pPr>
      <w:r w:rsidRPr="004443EA">
        <w:rPr>
          <w:lang w:val="pt-BR"/>
        </w:rPr>
        <w:t>$A$ representa a área entre a "Linha de Igualdade Perfeita" (uma reta de 45°) e a Curva de Lorenz real do país.</w:t>
      </w:r>
    </w:p>
    <w:p w14:paraId="54362521" w14:textId="77777777" w:rsidR="004443EA" w:rsidRPr="004443EA" w:rsidRDefault="004443EA" w:rsidP="004443EA">
      <w:pPr>
        <w:numPr>
          <w:ilvl w:val="0"/>
          <w:numId w:val="2"/>
        </w:numPr>
        <w:rPr>
          <w:lang w:val="pt-BR"/>
        </w:rPr>
      </w:pPr>
      <w:r w:rsidRPr="004443EA">
        <w:rPr>
          <w:lang w:val="pt-BR"/>
        </w:rPr>
        <w:t>$B$ representa a área abaixo da Curva de Lorenz.</w:t>
      </w:r>
    </w:p>
    <w:p w14:paraId="3C3B497E" w14:textId="77777777" w:rsidR="004443EA" w:rsidRPr="004443EA" w:rsidRDefault="004443EA" w:rsidP="004443EA">
      <w:pPr>
        <w:rPr>
          <w:b/>
          <w:bCs/>
        </w:rPr>
      </w:pPr>
      <w:r w:rsidRPr="004443EA">
        <w:rPr>
          <w:b/>
          <w:bCs/>
        </w:rPr>
        <w:t>Interpretação Prática</w:t>
      </w:r>
    </w:p>
    <w:p w14:paraId="497F2CD5" w14:textId="77777777" w:rsidR="004443EA" w:rsidRPr="004443EA" w:rsidRDefault="004443EA" w:rsidP="004443EA">
      <w:pPr>
        <w:numPr>
          <w:ilvl w:val="0"/>
          <w:numId w:val="3"/>
        </w:numPr>
        <w:rPr>
          <w:lang w:val="pt-BR"/>
        </w:rPr>
      </w:pPr>
      <w:r w:rsidRPr="004443EA">
        <w:rPr>
          <w:b/>
          <w:bCs/>
          <w:lang w:val="pt-BR"/>
        </w:rPr>
        <w:t>Valores baixos (geralmente entre 0,25 e 0,35):</w:t>
      </w:r>
      <w:r w:rsidRPr="004443EA">
        <w:rPr>
          <w:lang w:val="pt-BR"/>
        </w:rPr>
        <w:t xml:space="preserve"> Indicam países com distribuição de renda mais equitativa (comum em países nórdicos como Dinamarca e Noruega).</w:t>
      </w:r>
    </w:p>
    <w:p w14:paraId="2EE7BADA" w14:textId="77777777" w:rsidR="004443EA" w:rsidRPr="004443EA" w:rsidRDefault="004443EA" w:rsidP="004443EA">
      <w:pPr>
        <w:numPr>
          <w:ilvl w:val="0"/>
          <w:numId w:val="3"/>
        </w:numPr>
        <w:rPr>
          <w:lang w:val="pt-BR"/>
        </w:rPr>
      </w:pPr>
      <w:r w:rsidRPr="004443EA">
        <w:rPr>
          <w:b/>
          <w:bCs/>
          <w:lang w:val="pt-BR"/>
        </w:rPr>
        <w:t>Valores altos (acima de 0,50):</w:t>
      </w:r>
      <w:r w:rsidRPr="004443EA">
        <w:rPr>
          <w:lang w:val="pt-BR"/>
        </w:rPr>
        <w:t xml:space="preserve"> Indicam forte concentração de renda e elevada desigualdade socioeconômica (frequente em nações em desenvolvimento da América Latina e da África </w:t>
      </w:r>
      <w:proofErr w:type="spellStart"/>
      <w:r w:rsidRPr="004443EA">
        <w:rPr>
          <w:lang w:val="pt-BR"/>
        </w:rPr>
        <w:t>Subsariana</w:t>
      </w:r>
      <w:proofErr w:type="spellEnd"/>
      <w:r w:rsidRPr="004443EA">
        <w:rPr>
          <w:lang w:val="pt-BR"/>
        </w:rPr>
        <w:t>).</w:t>
      </w:r>
    </w:p>
    <w:p w14:paraId="45A8C597" w14:textId="77777777" w:rsidR="004443EA" w:rsidRPr="004443EA" w:rsidRDefault="004443EA">
      <w:pPr>
        <w:rPr>
          <w:lang w:val="pt-BR"/>
        </w:rPr>
      </w:pPr>
    </w:p>
    <w:p w14:paraId="02D8094B" w14:textId="77777777" w:rsidR="004443EA" w:rsidRPr="004443EA" w:rsidRDefault="004443EA">
      <w:pPr>
        <w:rPr>
          <w:lang w:val="pt-BR"/>
        </w:rPr>
      </w:pPr>
    </w:p>
    <w:tbl>
      <w:tblPr>
        <w:tblW w:w="2240" w:type="dxa"/>
        <w:tblCellMar>
          <w:left w:w="70" w:type="dxa"/>
          <w:right w:w="70" w:type="dxa"/>
        </w:tblCellMar>
        <w:tblLook w:val="04A0" w:firstRow="1" w:lastRow="0" w:firstColumn="1" w:lastColumn="0" w:noHBand="0" w:noVBand="1"/>
      </w:tblPr>
      <w:tblGrid>
        <w:gridCol w:w="2240"/>
      </w:tblGrid>
      <w:tr w:rsidR="008C5123" w:rsidRPr="008C5123" w14:paraId="24BA3B08" w14:textId="77777777" w:rsidTr="008C5123">
        <w:trPr>
          <w:trHeight w:val="288"/>
        </w:trPr>
        <w:tc>
          <w:tcPr>
            <w:tcW w:w="2240" w:type="dxa"/>
            <w:tcBorders>
              <w:top w:val="nil"/>
              <w:left w:val="nil"/>
              <w:bottom w:val="nil"/>
              <w:right w:val="nil"/>
            </w:tcBorders>
            <w:noWrap/>
            <w:vAlign w:val="center"/>
            <w:hideMark/>
          </w:tcPr>
          <w:p w14:paraId="3F1506FF"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Ano e fonte (algumas)</w:t>
            </w:r>
          </w:p>
        </w:tc>
      </w:tr>
      <w:tr w:rsidR="008C5123" w:rsidRPr="008C5123" w14:paraId="5A8EA5B1" w14:textId="77777777" w:rsidTr="008C5123">
        <w:trPr>
          <w:trHeight w:val="288"/>
        </w:trPr>
        <w:tc>
          <w:tcPr>
            <w:tcW w:w="2240" w:type="dxa"/>
            <w:tcBorders>
              <w:top w:val="nil"/>
              <w:left w:val="nil"/>
              <w:bottom w:val="nil"/>
              <w:right w:val="nil"/>
            </w:tcBorders>
            <w:noWrap/>
            <w:vAlign w:val="center"/>
            <w:hideMark/>
          </w:tcPr>
          <w:p w14:paraId="177765F2"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2023–24 (Eurostat/FMI)</w:t>
            </w:r>
          </w:p>
        </w:tc>
      </w:tr>
      <w:tr w:rsidR="008C5123" w:rsidRPr="008C5123" w14:paraId="56DDB353" w14:textId="77777777" w:rsidTr="008C5123">
        <w:trPr>
          <w:trHeight w:val="288"/>
        </w:trPr>
        <w:tc>
          <w:tcPr>
            <w:tcW w:w="2240" w:type="dxa"/>
            <w:tcBorders>
              <w:top w:val="nil"/>
              <w:left w:val="nil"/>
              <w:bottom w:val="nil"/>
              <w:right w:val="nil"/>
            </w:tcBorders>
            <w:noWrap/>
            <w:vAlign w:val="center"/>
            <w:hideMark/>
          </w:tcPr>
          <w:p w14:paraId="2D775AA8"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2026 (Eurostat/ILO)</w:t>
            </w:r>
          </w:p>
        </w:tc>
      </w:tr>
      <w:tr w:rsidR="008C5123" w:rsidRPr="008C5123" w14:paraId="246DBB0E" w14:textId="77777777" w:rsidTr="008C5123">
        <w:trPr>
          <w:trHeight w:val="288"/>
        </w:trPr>
        <w:tc>
          <w:tcPr>
            <w:tcW w:w="2240" w:type="dxa"/>
            <w:tcBorders>
              <w:top w:val="nil"/>
              <w:left w:val="nil"/>
              <w:bottom w:val="nil"/>
              <w:right w:val="nil"/>
            </w:tcBorders>
            <w:shd w:val="clear" w:color="000000" w:fill="FFFF00"/>
            <w:noWrap/>
            <w:vAlign w:val="center"/>
            <w:hideMark/>
          </w:tcPr>
          <w:p w14:paraId="12355E42"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2025 (Eurostat, estim.)</w:t>
            </w:r>
          </w:p>
        </w:tc>
      </w:tr>
      <w:tr w:rsidR="008C5123" w:rsidRPr="008C5123" w14:paraId="499BB473" w14:textId="77777777" w:rsidTr="008C5123">
        <w:trPr>
          <w:trHeight w:val="288"/>
        </w:trPr>
        <w:tc>
          <w:tcPr>
            <w:tcW w:w="2240" w:type="dxa"/>
            <w:tcBorders>
              <w:top w:val="nil"/>
              <w:left w:val="nil"/>
              <w:bottom w:val="nil"/>
              <w:right w:val="nil"/>
            </w:tcBorders>
            <w:noWrap/>
            <w:vAlign w:val="center"/>
            <w:hideMark/>
          </w:tcPr>
          <w:p w14:paraId="20ADE0F4"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2024 (Eurostat/FMI)</w:t>
            </w:r>
          </w:p>
        </w:tc>
      </w:tr>
      <w:tr w:rsidR="008C5123" w:rsidRPr="008C5123" w14:paraId="798ABA97" w14:textId="77777777" w:rsidTr="008C5123">
        <w:trPr>
          <w:trHeight w:val="288"/>
        </w:trPr>
        <w:tc>
          <w:tcPr>
            <w:tcW w:w="2240" w:type="dxa"/>
            <w:tcBorders>
              <w:top w:val="nil"/>
              <w:left w:val="nil"/>
              <w:bottom w:val="nil"/>
              <w:right w:val="nil"/>
            </w:tcBorders>
            <w:noWrap/>
            <w:vAlign w:val="center"/>
            <w:hideMark/>
          </w:tcPr>
          <w:p w14:paraId="75668860"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2023 (Eurostat)</w:t>
            </w:r>
          </w:p>
        </w:tc>
      </w:tr>
      <w:tr w:rsidR="008C5123" w:rsidRPr="008C5123" w14:paraId="5F27A393" w14:textId="77777777" w:rsidTr="008C5123">
        <w:trPr>
          <w:trHeight w:val="288"/>
        </w:trPr>
        <w:tc>
          <w:tcPr>
            <w:tcW w:w="2240" w:type="dxa"/>
            <w:tcBorders>
              <w:top w:val="nil"/>
              <w:left w:val="nil"/>
              <w:bottom w:val="nil"/>
              <w:right w:val="nil"/>
            </w:tcBorders>
            <w:noWrap/>
            <w:vAlign w:val="center"/>
            <w:hideMark/>
          </w:tcPr>
          <w:p w14:paraId="5A252C76"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2023 (Eurostat)</w:t>
            </w:r>
          </w:p>
        </w:tc>
      </w:tr>
      <w:tr w:rsidR="008C5123" w:rsidRPr="008C5123" w14:paraId="3E32CAF1" w14:textId="77777777" w:rsidTr="008C5123">
        <w:trPr>
          <w:trHeight w:val="288"/>
        </w:trPr>
        <w:tc>
          <w:tcPr>
            <w:tcW w:w="2240" w:type="dxa"/>
            <w:tcBorders>
              <w:top w:val="nil"/>
              <w:left w:val="nil"/>
              <w:bottom w:val="nil"/>
              <w:right w:val="nil"/>
            </w:tcBorders>
            <w:noWrap/>
            <w:vAlign w:val="center"/>
            <w:hideMark/>
          </w:tcPr>
          <w:p w14:paraId="0EBB3026"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2023 (EU-SILC, Eurostat)</w:t>
            </w:r>
          </w:p>
        </w:tc>
      </w:tr>
      <w:tr w:rsidR="008C5123" w:rsidRPr="008C5123" w14:paraId="49F7157E" w14:textId="77777777" w:rsidTr="008C5123">
        <w:trPr>
          <w:trHeight w:val="288"/>
        </w:trPr>
        <w:tc>
          <w:tcPr>
            <w:tcW w:w="2240" w:type="dxa"/>
            <w:tcBorders>
              <w:top w:val="nil"/>
              <w:left w:val="nil"/>
              <w:bottom w:val="nil"/>
              <w:right w:val="nil"/>
            </w:tcBorders>
            <w:noWrap/>
            <w:vAlign w:val="center"/>
            <w:hideMark/>
          </w:tcPr>
          <w:p w14:paraId="3DA04EAD"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2025 (Eurostat)</w:t>
            </w:r>
          </w:p>
        </w:tc>
      </w:tr>
      <w:tr w:rsidR="008C5123" w:rsidRPr="008C5123" w14:paraId="55F04D8F" w14:textId="77777777" w:rsidTr="008C5123">
        <w:trPr>
          <w:trHeight w:val="288"/>
        </w:trPr>
        <w:tc>
          <w:tcPr>
            <w:tcW w:w="2240" w:type="dxa"/>
            <w:tcBorders>
              <w:top w:val="nil"/>
              <w:left w:val="nil"/>
              <w:bottom w:val="nil"/>
              <w:right w:val="nil"/>
            </w:tcBorders>
            <w:noWrap/>
            <w:vAlign w:val="center"/>
            <w:hideMark/>
          </w:tcPr>
          <w:p w14:paraId="27006A07"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2024 (EU-SILC, Eurostat)</w:t>
            </w:r>
          </w:p>
        </w:tc>
      </w:tr>
      <w:tr w:rsidR="008C5123" w:rsidRPr="008C5123" w14:paraId="614CC6F6" w14:textId="77777777" w:rsidTr="008C5123">
        <w:trPr>
          <w:trHeight w:val="288"/>
        </w:trPr>
        <w:tc>
          <w:tcPr>
            <w:tcW w:w="2240" w:type="dxa"/>
            <w:tcBorders>
              <w:top w:val="nil"/>
              <w:left w:val="nil"/>
              <w:bottom w:val="nil"/>
              <w:right w:val="nil"/>
            </w:tcBorders>
            <w:noWrap/>
            <w:vAlign w:val="center"/>
            <w:hideMark/>
          </w:tcPr>
          <w:p w14:paraId="7EDC3792"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2022 (Eurostat)</w:t>
            </w:r>
          </w:p>
        </w:tc>
      </w:tr>
      <w:tr w:rsidR="008C5123" w:rsidRPr="008C5123" w14:paraId="2BEEA67A" w14:textId="77777777" w:rsidTr="008C5123">
        <w:trPr>
          <w:trHeight w:val="288"/>
        </w:trPr>
        <w:tc>
          <w:tcPr>
            <w:tcW w:w="2240" w:type="dxa"/>
            <w:tcBorders>
              <w:top w:val="nil"/>
              <w:left w:val="nil"/>
              <w:bottom w:val="nil"/>
              <w:right w:val="nil"/>
            </w:tcBorders>
            <w:noWrap/>
            <w:vAlign w:val="center"/>
            <w:hideMark/>
          </w:tcPr>
          <w:p w14:paraId="5979ACFF"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2021 (EU-SILC)</w:t>
            </w:r>
          </w:p>
        </w:tc>
      </w:tr>
      <w:tr w:rsidR="008C5123" w:rsidRPr="008C5123" w14:paraId="1C4E72BA" w14:textId="77777777" w:rsidTr="008C5123">
        <w:trPr>
          <w:trHeight w:val="288"/>
        </w:trPr>
        <w:tc>
          <w:tcPr>
            <w:tcW w:w="2240" w:type="dxa"/>
            <w:tcBorders>
              <w:top w:val="nil"/>
              <w:left w:val="nil"/>
              <w:bottom w:val="nil"/>
              <w:right w:val="nil"/>
            </w:tcBorders>
            <w:noWrap/>
            <w:vAlign w:val="center"/>
            <w:hideMark/>
          </w:tcPr>
          <w:p w14:paraId="7D75691D" w14:textId="77777777" w:rsidR="008C5123" w:rsidRPr="008C5123" w:rsidRDefault="008C5123" w:rsidP="008C5123">
            <w:pPr>
              <w:spacing w:after="0" w:line="240" w:lineRule="auto"/>
              <w:jc w:val="center"/>
              <w:rPr>
                <w:rFonts w:ascii="Aptos Narrow" w:eastAsia="Times New Roman" w:hAnsi="Aptos Narrow" w:cs="Times New Roman"/>
                <w:color w:val="000000"/>
                <w:kern w:val="0"/>
                <w:sz w:val="22"/>
                <w:szCs w:val="22"/>
                <w:lang w:eastAsia="fr-FR"/>
                <w14:ligatures w14:val="none"/>
              </w:rPr>
            </w:pPr>
            <w:r w:rsidRPr="008C5123">
              <w:rPr>
                <w:rFonts w:ascii="Aptos Narrow" w:eastAsia="Times New Roman" w:hAnsi="Aptos Narrow" w:cs="Times New Roman"/>
                <w:color w:val="000000"/>
                <w:kern w:val="0"/>
                <w:sz w:val="22"/>
                <w:szCs w:val="22"/>
                <w:lang w:eastAsia="fr-FR"/>
                <w14:ligatures w14:val="none"/>
              </w:rPr>
              <w:t>2024 (EU-SILC)</w:t>
            </w:r>
          </w:p>
        </w:tc>
      </w:tr>
    </w:tbl>
    <w:p w14:paraId="73B2F560" w14:textId="77777777" w:rsidR="004443EA" w:rsidRDefault="004443EA">
      <w:pPr>
        <w:rPr>
          <w:lang w:val="pt-BR"/>
        </w:rPr>
      </w:pPr>
    </w:p>
    <w:p w14:paraId="62D50464" w14:textId="77777777" w:rsidR="00A56E86" w:rsidRDefault="00A56E86">
      <w:pPr>
        <w:rPr>
          <w:lang w:val="pt-BR"/>
        </w:rPr>
      </w:pPr>
    </w:p>
    <w:p w14:paraId="242C572E" w14:textId="77777777" w:rsidR="00A56E86" w:rsidRPr="00A56E86" w:rsidRDefault="00A56E86" w:rsidP="00A56E86">
      <w:pPr>
        <w:rPr>
          <w:b/>
          <w:bCs/>
        </w:rPr>
      </w:pPr>
      <w:r w:rsidRPr="00A56E86">
        <w:rPr>
          <w:b/>
          <w:bCs/>
        </w:rPr>
        <w:t>Définitions des variables et méthodes de calcul</w:t>
      </w:r>
    </w:p>
    <w:p w14:paraId="54194399" w14:textId="77777777" w:rsidR="00A56E86" w:rsidRPr="00A56E86" w:rsidRDefault="00A56E86" w:rsidP="00A56E86">
      <w:pPr>
        <w:rPr>
          <w:b/>
          <w:bCs/>
        </w:rPr>
      </w:pPr>
      <w:r w:rsidRPr="00A56E86">
        <w:rPr>
          <w:b/>
          <w:bCs/>
        </w:rPr>
        <w:t>1. PIB par habitant (Produit Intérieur Brut par habitant)</w:t>
      </w:r>
    </w:p>
    <w:p w14:paraId="684324CA" w14:textId="77777777" w:rsidR="00A56E86" w:rsidRPr="00A56E86" w:rsidRDefault="00A56E86" w:rsidP="00A56E86">
      <w:r w:rsidRPr="00A56E86">
        <w:rPr>
          <w:b/>
          <w:bCs/>
        </w:rPr>
        <w:lastRenderedPageBreak/>
        <w:t>Définition :</w:t>
      </w:r>
      <w:r w:rsidRPr="00A56E86">
        <w:br/>
        <w:t>Mesure la richesse produite en moyenne par une personne dans un pays pendant une année.</w:t>
      </w:r>
    </w:p>
    <w:p w14:paraId="72E73BE9" w14:textId="77777777" w:rsidR="00A56E86" w:rsidRPr="00A56E86" w:rsidRDefault="00A56E86" w:rsidP="00A56E86">
      <w:r w:rsidRPr="00A56E86">
        <w:rPr>
          <w:b/>
          <w:bCs/>
        </w:rPr>
        <w:t>Calcul :</w:t>
      </w:r>
      <w:r w:rsidRPr="00A56E86">
        <w:br/>
        <w:t>PIB\ par\ habitant = \frac{PIB\ total}{Population}</w:t>
      </w:r>
    </w:p>
    <w:p w14:paraId="2BF25461" w14:textId="77777777" w:rsidR="00A56E86" w:rsidRPr="00A56E86" w:rsidRDefault="00A56E86" w:rsidP="00A56E86">
      <w:r w:rsidRPr="00A56E86">
        <w:rPr>
          <w:b/>
          <w:bCs/>
        </w:rPr>
        <w:t>Interprétation :</w:t>
      </w:r>
    </w:p>
    <w:p w14:paraId="0A9BD519" w14:textId="77777777" w:rsidR="00A56E86" w:rsidRPr="00A56E86" w:rsidRDefault="00A56E86" w:rsidP="00A56E86">
      <w:pPr>
        <w:numPr>
          <w:ilvl w:val="0"/>
          <w:numId w:val="4"/>
        </w:numPr>
      </w:pPr>
      <w:r w:rsidRPr="00A56E86">
        <w:t>Valeur élevée → pays plus riche en moyenne.</w:t>
      </w:r>
    </w:p>
    <w:p w14:paraId="174ADAFA" w14:textId="77777777" w:rsidR="00A56E86" w:rsidRPr="00A56E86" w:rsidRDefault="00A56E86" w:rsidP="00A56E86">
      <w:pPr>
        <w:numPr>
          <w:ilvl w:val="0"/>
          <w:numId w:val="4"/>
        </w:numPr>
      </w:pPr>
      <w:r w:rsidRPr="00A56E86">
        <w:t>Valeur faible → niveau de richesse moyen plus bas.</w:t>
      </w:r>
    </w:p>
    <w:p w14:paraId="2DBF79D2" w14:textId="77777777" w:rsidR="00A56E86" w:rsidRPr="00A56E86" w:rsidRDefault="00A56E86" w:rsidP="00A56E86">
      <w:r w:rsidRPr="00A56E86">
        <w:rPr>
          <w:b/>
          <w:bCs/>
        </w:rPr>
        <w:t>Dans vos données :</w:t>
      </w:r>
      <w:r w:rsidRPr="00A56E86">
        <w:br/>
        <w:t>Luxembourg et Irlande ont les valeurs les plus élevées, tandis que Bulgarie et Grèce sont plus faibles.</w:t>
      </w:r>
    </w:p>
    <w:p w14:paraId="25B12E54" w14:textId="77777777" w:rsidR="00A56E86" w:rsidRPr="00A56E86" w:rsidRDefault="00A56E86" w:rsidP="00A56E86">
      <w:r w:rsidRPr="00A56E86">
        <w:pict w14:anchorId="7F8FC9B3">
          <v:rect id="_x0000_i1096" style="width:0;height:1.5pt" o:hralign="center" o:hrstd="t" o:hr="t" fillcolor="#a0a0a0" stroked="f"/>
        </w:pict>
      </w:r>
    </w:p>
    <w:p w14:paraId="194B1978" w14:textId="77777777" w:rsidR="00A56E86" w:rsidRPr="00A56E86" w:rsidRDefault="00A56E86" w:rsidP="00A56E86">
      <w:pPr>
        <w:rPr>
          <w:b/>
          <w:bCs/>
        </w:rPr>
      </w:pPr>
      <w:r w:rsidRPr="00A56E86">
        <w:rPr>
          <w:b/>
          <w:bCs/>
        </w:rPr>
        <w:t>2. Taux de chômage</w:t>
      </w:r>
    </w:p>
    <w:p w14:paraId="711CD8F9" w14:textId="77777777" w:rsidR="00A56E86" w:rsidRPr="00A56E86" w:rsidRDefault="00A56E86" w:rsidP="00A56E86">
      <w:r w:rsidRPr="00A56E86">
        <w:rPr>
          <w:b/>
          <w:bCs/>
        </w:rPr>
        <w:t>Définition :</w:t>
      </w:r>
      <w:r w:rsidRPr="00A56E86">
        <w:br/>
        <w:t>Pourcentage de la population active qui cherche un emploi mais n’en trouve pas.</w:t>
      </w:r>
    </w:p>
    <w:p w14:paraId="7ABCB420" w14:textId="77777777" w:rsidR="00A56E86" w:rsidRPr="00A56E86" w:rsidRDefault="00A56E86" w:rsidP="00A56E86">
      <w:r w:rsidRPr="00A56E86">
        <w:rPr>
          <w:b/>
          <w:bCs/>
        </w:rPr>
        <w:t>Calcul :</w:t>
      </w:r>
      <w:r w:rsidRPr="00A56E86">
        <w:br/>
        <w:t>Taux\ de\ chômage = \frac{Nombre\ de\ chômeurs}{Population\ active} \times 100</w:t>
      </w:r>
    </w:p>
    <w:p w14:paraId="34573094" w14:textId="77777777" w:rsidR="00A56E86" w:rsidRPr="00A56E86" w:rsidRDefault="00A56E86" w:rsidP="00A56E86">
      <w:r w:rsidRPr="00A56E86">
        <w:rPr>
          <w:b/>
          <w:bCs/>
        </w:rPr>
        <w:t>Interprétation :</w:t>
      </w:r>
    </w:p>
    <w:p w14:paraId="0FEF6879" w14:textId="77777777" w:rsidR="00A56E86" w:rsidRPr="00A56E86" w:rsidRDefault="00A56E86" w:rsidP="00A56E86">
      <w:pPr>
        <w:numPr>
          <w:ilvl w:val="0"/>
          <w:numId w:val="5"/>
        </w:numPr>
      </w:pPr>
      <w:r w:rsidRPr="00A56E86">
        <w:t>Taux élevé → difficultés du marché du travail.</w:t>
      </w:r>
    </w:p>
    <w:p w14:paraId="6E87A11A" w14:textId="77777777" w:rsidR="00A56E86" w:rsidRPr="00A56E86" w:rsidRDefault="00A56E86" w:rsidP="00A56E86">
      <w:pPr>
        <w:numPr>
          <w:ilvl w:val="0"/>
          <w:numId w:val="5"/>
        </w:numPr>
      </w:pPr>
      <w:r w:rsidRPr="00A56E86">
        <w:t>Taux faible → marché du travail plus dynamique.</w:t>
      </w:r>
    </w:p>
    <w:p w14:paraId="643C56A8" w14:textId="77777777" w:rsidR="00A56E86" w:rsidRPr="00A56E86" w:rsidRDefault="00A56E86" w:rsidP="00A56E86">
      <w:r w:rsidRPr="00A56E86">
        <w:pict w14:anchorId="4A39D60E">
          <v:rect id="_x0000_i1097" style="width:0;height:1.5pt" o:hralign="center" o:hrstd="t" o:hr="t" fillcolor="#a0a0a0" stroked="f"/>
        </w:pict>
      </w:r>
    </w:p>
    <w:p w14:paraId="79D560BE" w14:textId="77777777" w:rsidR="00A56E86" w:rsidRPr="00A56E86" w:rsidRDefault="00A56E86" w:rsidP="00A56E86">
      <w:pPr>
        <w:rPr>
          <w:b/>
          <w:bCs/>
        </w:rPr>
      </w:pPr>
      <w:r w:rsidRPr="00A56E86">
        <w:rPr>
          <w:b/>
          <w:bCs/>
        </w:rPr>
        <w:t>3. Inflation</w:t>
      </w:r>
    </w:p>
    <w:p w14:paraId="09ED4094" w14:textId="77777777" w:rsidR="00A56E86" w:rsidRPr="00A56E86" w:rsidRDefault="00A56E86" w:rsidP="00A56E86">
      <w:r w:rsidRPr="00A56E86">
        <w:rPr>
          <w:b/>
          <w:bCs/>
        </w:rPr>
        <w:t>Définition :</w:t>
      </w:r>
      <w:r w:rsidRPr="00A56E86">
        <w:br/>
        <w:t>Hausse générale des prix des biens et services dans une économie.</w:t>
      </w:r>
    </w:p>
    <w:p w14:paraId="6DD32270" w14:textId="77777777" w:rsidR="00A56E86" w:rsidRPr="00A56E86" w:rsidRDefault="00A56E86" w:rsidP="00A56E86">
      <w:r w:rsidRPr="00A56E86">
        <w:rPr>
          <w:b/>
          <w:bCs/>
        </w:rPr>
        <w:t>Calcul :</w:t>
      </w:r>
      <w:r w:rsidRPr="00A56E86">
        <w:br/>
        <w:t>Basé sur l’Indice des Prix à la Consommation (IPC/CPI).</w:t>
      </w:r>
    </w:p>
    <w:p w14:paraId="57DD1720" w14:textId="77777777" w:rsidR="00A56E86" w:rsidRPr="00A56E86" w:rsidRDefault="00A56E86" w:rsidP="00A56E86">
      <w:r w:rsidRPr="00A56E86">
        <w:t>Inflation = \frac{IPC_t - IPC_{t-1}}{IPC_{t-1}} \times 100</w:t>
      </w:r>
    </w:p>
    <w:p w14:paraId="57CD0AF4" w14:textId="77777777" w:rsidR="00A56E86" w:rsidRPr="00A56E86" w:rsidRDefault="00A56E86" w:rsidP="00A56E86">
      <w:r w:rsidRPr="00A56E86">
        <w:rPr>
          <w:b/>
          <w:bCs/>
        </w:rPr>
        <w:t>Interprétation :</w:t>
      </w:r>
    </w:p>
    <w:p w14:paraId="702A14CB" w14:textId="77777777" w:rsidR="00A56E86" w:rsidRPr="00A56E86" w:rsidRDefault="00A56E86" w:rsidP="00A56E86">
      <w:pPr>
        <w:numPr>
          <w:ilvl w:val="0"/>
          <w:numId w:val="6"/>
        </w:numPr>
      </w:pPr>
      <w:r w:rsidRPr="00A56E86">
        <w:t>Inflation modérée (~2%) = situation considérée stable.</w:t>
      </w:r>
    </w:p>
    <w:p w14:paraId="196CAE01" w14:textId="77777777" w:rsidR="00A56E86" w:rsidRPr="00A56E86" w:rsidRDefault="00A56E86" w:rsidP="00A56E86">
      <w:pPr>
        <w:numPr>
          <w:ilvl w:val="0"/>
          <w:numId w:val="6"/>
        </w:numPr>
      </w:pPr>
      <w:r w:rsidRPr="00A56E86">
        <w:t>Inflation élevée = perte du pouvoir d’achat.</w:t>
      </w:r>
    </w:p>
    <w:p w14:paraId="795C1262" w14:textId="77777777" w:rsidR="00A56E86" w:rsidRPr="00A56E86" w:rsidRDefault="00A56E86" w:rsidP="00A56E86">
      <w:r w:rsidRPr="00A56E86">
        <w:pict w14:anchorId="27D5C502">
          <v:rect id="_x0000_i1098" style="width:0;height:1.5pt" o:hralign="center" o:hrstd="t" o:hr="t" fillcolor="#a0a0a0" stroked="f"/>
        </w:pict>
      </w:r>
    </w:p>
    <w:p w14:paraId="5C3A3861" w14:textId="77777777" w:rsidR="00A56E86" w:rsidRPr="00A56E86" w:rsidRDefault="00A56E86" w:rsidP="00A56E86">
      <w:pPr>
        <w:rPr>
          <w:b/>
          <w:bCs/>
        </w:rPr>
      </w:pPr>
      <w:r w:rsidRPr="00A56E86">
        <w:rPr>
          <w:b/>
          <w:bCs/>
        </w:rPr>
        <w:lastRenderedPageBreak/>
        <w:t>4. Dette publique (% du PIB)</w:t>
      </w:r>
    </w:p>
    <w:p w14:paraId="4091C7F7" w14:textId="77777777" w:rsidR="00A56E86" w:rsidRPr="00A56E86" w:rsidRDefault="00A56E86" w:rsidP="00A56E86">
      <w:r w:rsidRPr="00A56E86">
        <w:rPr>
          <w:b/>
          <w:bCs/>
        </w:rPr>
        <w:t>Définition :</w:t>
      </w:r>
      <w:r w:rsidRPr="00A56E86">
        <w:br/>
        <w:t>Montant total de la dette de l’État comparé à la taille de l’économie nationale.</w:t>
      </w:r>
    </w:p>
    <w:p w14:paraId="33B129B2" w14:textId="77777777" w:rsidR="00A56E86" w:rsidRPr="00A56E86" w:rsidRDefault="00A56E86" w:rsidP="00A56E86">
      <w:r w:rsidRPr="00A56E86">
        <w:rPr>
          <w:b/>
          <w:bCs/>
        </w:rPr>
        <w:t>Calcul :</w:t>
      </w:r>
      <w:r w:rsidRPr="00A56E86">
        <w:br/>
        <w:t>Dette\ publique\ (%\ PIB) = \frac{Dette\ publique}{PIB} \times 100</w:t>
      </w:r>
    </w:p>
    <w:p w14:paraId="2E9958C6" w14:textId="77777777" w:rsidR="00A56E86" w:rsidRPr="00A56E86" w:rsidRDefault="00A56E86" w:rsidP="00A56E86">
      <w:r w:rsidRPr="00A56E86">
        <w:rPr>
          <w:b/>
          <w:bCs/>
        </w:rPr>
        <w:t>Interprétation :</w:t>
      </w:r>
    </w:p>
    <w:p w14:paraId="4BEF65DE" w14:textId="77777777" w:rsidR="00A56E86" w:rsidRPr="00A56E86" w:rsidRDefault="00A56E86" w:rsidP="00A56E86">
      <w:pPr>
        <w:numPr>
          <w:ilvl w:val="0"/>
          <w:numId w:val="7"/>
        </w:numPr>
      </w:pPr>
      <w:r w:rsidRPr="00A56E86">
        <w:t>Taux élevé → État très endetté.</w:t>
      </w:r>
    </w:p>
    <w:p w14:paraId="3A23C97E" w14:textId="77777777" w:rsidR="00A56E86" w:rsidRPr="00A56E86" w:rsidRDefault="00A56E86" w:rsidP="00A56E86">
      <w:pPr>
        <w:numPr>
          <w:ilvl w:val="0"/>
          <w:numId w:val="7"/>
        </w:numPr>
      </w:pPr>
      <w:r w:rsidRPr="00A56E86">
        <w:t>Taux faible → finances publiques plus solides.</w:t>
      </w:r>
    </w:p>
    <w:p w14:paraId="09F5CA6F" w14:textId="77777777" w:rsidR="00A56E86" w:rsidRPr="00A56E86" w:rsidRDefault="00A56E86" w:rsidP="00A56E86">
      <w:r w:rsidRPr="00A56E86">
        <w:pict w14:anchorId="4EF3A31C">
          <v:rect id="_x0000_i1099" style="width:0;height:1.5pt" o:hralign="center" o:hrstd="t" o:hr="t" fillcolor="#a0a0a0" stroked="f"/>
        </w:pict>
      </w:r>
    </w:p>
    <w:p w14:paraId="3563A7C4" w14:textId="77777777" w:rsidR="00A56E86" w:rsidRPr="00A56E86" w:rsidRDefault="00A56E86" w:rsidP="00A56E86">
      <w:pPr>
        <w:rPr>
          <w:b/>
          <w:bCs/>
        </w:rPr>
      </w:pPr>
      <w:r w:rsidRPr="00A56E86">
        <w:rPr>
          <w:b/>
          <w:bCs/>
        </w:rPr>
        <w:t>5. Croissance économique</w:t>
      </w:r>
    </w:p>
    <w:p w14:paraId="4B27E0D2" w14:textId="77777777" w:rsidR="00A56E86" w:rsidRPr="00A56E86" w:rsidRDefault="00A56E86" w:rsidP="00A56E86">
      <w:r w:rsidRPr="00A56E86">
        <w:rPr>
          <w:b/>
          <w:bCs/>
        </w:rPr>
        <w:t>Définition :</w:t>
      </w:r>
      <w:r w:rsidRPr="00A56E86">
        <w:br/>
        <w:t>Variation annuelle du PIB réel d’un pays.</w:t>
      </w:r>
    </w:p>
    <w:p w14:paraId="53E8B13A" w14:textId="77777777" w:rsidR="00A56E86" w:rsidRPr="00A56E86" w:rsidRDefault="00A56E86" w:rsidP="00A56E86">
      <w:r w:rsidRPr="00A56E86">
        <w:rPr>
          <w:b/>
          <w:bCs/>
        </w:rPr>
        <w:t>Calcul :</w:t>
      </w:r>
      <w:r w:rsidRPr="00A56E86">
        <w:br/>
        <w:t>Croissance\ économique = \frac{PIB_t - PIB_{t-1}}{PIB_{t-1}} \times 100</w:t>
      </w:r>
    </w:p>
    <w:p w14:paraId="20E3EF37" w14:textId="77777777" w:rsidR="00A56E86" w:rsidRPr="00A56E86" w:rsidRDefault="00A56E86" w:rsidP="00A56E86">
      <w:r w:rsidRPr="00A56E86">
        <w:rPr>
          <w:b/>
          <w:bCs/>
        </w:rPr>
        <w:t>Interprétation :</w:t>
      </w:r>
    </w:p>
    <w:p w14:paraId="635CCF18" w14:textId="77777777" w:rsidR="00A56E86" w:rsidRPr="00A56E86" w:rsidRDefault="00A56E86" w:rsidP="00A56E86">
      <w:pPr>
        <w:numPr>
          <w:ilvl w:val="0"/>
          <w:numId w:val="8"/>
        </w:numPr>
      </w:pPr>
      <w:r w:rsidRPr="00A56E86">
        <w:t>Positive → économie en expansion.</w:t>
      </w:r>
    </w:p>
    <w:p w14:paraId="7A81BBCF" w14:textId="77777777" w:rsidR="00A56E86" w:rsidRPr="00A56E86" w:rsidRDefault="00A56E86" w:rsidP="00A56E86">
      <w:pPr>
        <w:numPr>
          <w:ilvl w:val="0"/>
          <w:numId w:val="8"/>
        </w:numPr>
      </w:pPr>
      <w:r w:rsidRPr="00A56E86">
        <w:t>Négative → récession.</w:t>
      </w:r>
    </w:p>
    <w:p w14:paraId="5E0EEA36" w14:textId="77777777" w:rsidR="00A56E86" w:rsidRPr="00A56E86" w:rsidRDefault="00A56E86" w:rsidP="00A56E86">
      <w:r w:rsidRPr="00A56E86">
        <w:pict w14:anchorId="73C54AA7">
          <v:rect id="_x0000_i1100" style="width:0;height:1.5pt" o:hralign="center" o:hrstd="t" o:hr="t" fillcolor="#a0a0a0" stroked="f"/>
        </w:pict>
      </w:r>
    </w:p>
    <w:p w14:paraId="7D3BF6C0" w14:textId="77777777" w:rsidR="00A56E86" w:rsidRPr="00A56E86" w:rsidRDefault="00A56E86" w:rsidP="00A56E86">
      <w:pPr>
        <w:rPr>
          <w:b/>
          <w:bCs/>
        </w:rPr>
      </w:pPr>
      <w:r w:rsidRPr="00A56E86">
        <w:rPr>
          <w:b/>
          <w:bCs/>
        </w:rPr>
        <w:t>6. Balance commerciale</w:t>
      </w:r>
    </w:p>
    <w:p w14:paraId="00761B7D" w14:textId="77777777" w:rsidR="00A56E86" w:rsidRPr="00A56E86" w:rsidRDefault="00A56E86" w:rsidP="00A56E86">
      <w:r w:rsidRPr="00A56E86">
        <w:rPr>
          <w:b/>
          <w:bCs/>
        </w:rPr>
        <w:t>Définition :</w:t>
      </w:r>
      <w:r w:rsidRPr="00A56E86">
        <w:br/>
        <w:t>Différence entre les exportations et les importations d’un pays.</w:t>
      </w:r>
    </w:p>
    <w:p w14:paraId="4E094813" w14:textId="77777777" w:rsidR="00A56E86" w:rsidRPr="00A56E86" w:rsidRDefault="00A56E86" w:rsidP="00A56E86">
      <w:r w:rsidRPr="00A56E86">
        <w:rPr>
          <w:b/>
          <w:bCs/>
        </w:rPr>
        <w:t>Calcul :</w:t>
      </w:r>
      <w:r w:rsidRPr="00A56E86">
        <w:br/>
        <w:t>Balance\ commerciale = Exportations - Importations</w:t>
      </w:r>
    </w:p>
    <w:p w14:paraId="551EED8C" w14:textId="77777777" w:rsidR="00A56E86" w:rsidRPr="00A56E86" w:rsidRDefault="00A56E86" w:rsidP="00A56E86">
      <w:r w:rsidRPr="00A56E86">
        <w:rPr>
          <w:b/>
          <w:bCs/>
        </w:rPr>
        <w:t>Interprétation :</w:t>
      </w:r>
    </w:p>
    <w:p w14:paraId="1E8C07B3" w14:textId="77777777" w:rsidR="00A56E86" w:rsidRPr="00A56E86" w:rsidRDefault="00A56E86" w:rsidP="00A56E86">
      <w:pPr>
        <w:numPr>
          <w:ilvl w:val="0"/>
          <w:numId w:val="9"/>
        </w:numPr>
      </w:pPr>
      <w:r w:rsidRPr="00A56E86">
        <w:t>Résultat positif → excédent commercial.</w:t>
      </w:r>
    </w:p>
    <w:p w14:paraId="7D1030D2" w14:textId="77777777" w:rsidR="00A56E86" w:rsidRPr="00A56E86" w:rsidRDefault="00A56E86" w:rsidP="00A56E86">
      <w:pPr>
        <w:numPr>
          <w:ilvl w:val="0"/>
          <w:numId w:val="9"/>
        </w:numPr>
      </w:pPr>
      <w:r w:rsidRPr="00A56E86">
        <w:t>Résultat négatif → déficit commercial.</w:t>
      </w:r>
    </w:p>
    <w:p w14:paraId="712DDD79" w14:textId="77777777" w:rsidR="00A56E86" w:rsidRPr="00A56E86" w:rsidRDefault="00A56E86" w:rsidP="00A56E86">
      <w:r w:rsidRPr="00A56E86">
        <w:pict w14:anchorId="72CDCE91">
          <v:rect id="_x0000_i1101" style="width:0;height:1.5pt" o:hralign="center" o:hrstd="t" o:hr="t" fillcolor="#a0a0a0" stroked="f"/>
        </w:pict>
      </w:r>
    </w:p>
    <w:p w14:paraId="07966E76" w14:textId="77777777" w:rsidR="00A56E86" w:rsidRPr="00A56E86" w:rsidRDefault="00A56E86" w:rsidP="00A56E86">
      <w:pPr>
        <w:rPr>
          <w:b/>
          <w:bCs/>
        </w:rPr>
      </w:pPr>
      <w:r w:rsidRPr="00A56E86">
        <w:rPr>
          <w:b/>
          <w:bCs/>
        </w:rPr>
        <w:t>Conditions de vie</w:t>
      </w:r>
    </w:p>
    <w:p w14:paraId="31184FF4" w14:textId="77777777" w:rsidR="00A56E86" w:rsidRPr="00A56E86" w:rsidRDefault="00A56E86" w:rsidP="00A56E86">
      <w:pPr>
        <w:rPr>
          <w:b/>
          <w:bCs/>
        </w:rPr>
      </w:pPr>
      <w:r w:rsidRPr="00A56E86">
        <w:rPr>
          <w:b/>
          <w:bCs/>
        </w:rPr>
        <w:t>7. Salaire médian</w:t>
      </w:r>
    </w:p>
    <w:p w14:paraId="0CC00821" w14:textId="77777777" w:rsidR="00A56E86" w:rsidRPr="00A56E86" w:rsidRDefault="00A56E86" w:rsidP="00A56E86">
      <w:r w:rsidRPr="00A56E86">
        <w:rPr>
          <w:b/>
          <w:bCs/>
        </w:rPr>
        <w:lastRenderedPageBreak/>
        <w:t>Définition :</w:t>
      </w:r>
      <w:r w:rsidRPr="00A56E86">
        <w:br/>
        <w:t>Salaire qui sépare la population en deux groupes égaux :</w:t>
      </w:r>
    </w:p>
    <w:p w14:paraId="3E048E37" w14:textId="77777777" w:rsidR="00A56E86" w:rsidRPr="00A56E86" w:rsidRDefault="00A56E86" w:rsidP="00A56E86">
      <w:pPr>
        <w:numPr>
          <w:ilvl w:val="0"/>
          <w:numId w:val="10"/>
        </w:numPr>
      </w:pPr>
      <w:r w:rsidRPr="00A56E86">
        <w:t>50% gagnent plus,</w:t>
      </w:r>
    </w:p>
    <w:p w14:paraId="4FD09E9C" w14:textId="77777777" w:rsidR="00A56E86" w:rsidRPr="00A56E86" w:rsidRDefault="00A56E86" w:rsidP="00A56E86">
      <w:pPr>
        <w:numPr>
          <w:ilvl w:val="0"/>
          <w:numId w:val="10"/>
        </w:numPr>
      </w:pPr>
      <w:r w:rsidRPr="00A56E86">
        <w:t>50% gagnent moins.</w:t>
      </w:r>
    </w:p>
    <w:p w14:paraId="11619D38" w14:textId="77777777" w:rsidR="00A56E86" w:rsidRPr="00A56E86" w:rsidRDefault="00A56E86" w:rsidP="00A56E86">
      <w:r w:rsidRPr="00A56E86">
        <w:rPr>
          <w:b/>
          <w:bCs/>
        </w:rPr>
        <w:t>Calcul :</w:t>
      </w:r>
      <w:r w:rsidRPr="00A56E86">
        <w:br/>
        <w:t>Les revenus sont classés du plus faible au plus élevé ; la valeur centrale est retenue.</w:t>
      </w:r>
    </w:p>
    <w:p w14:paraId="68D918F3" w14:textId="77777777" w:rsidR="00A56E86" w:rsidRPr="00A56E86" w:rsidRDefault="00A56E86" w:rsidP="00A56E86">
      <w:r w:rsidRPr="00A56E86">
        <w:rPr>
          <w:b/>
          <w:bCs/>
        </w:rPr>
        <w:t>Pourquoi médian et non moyen ?</w:t>
      </w:r>
      <w:r w:rsidRPr="00A56E86">
        <w:br/>
        <w:t>Le salaire médian évite que les très hauts revenus déforment les résultats.</w:t>
      </w:r>
    </w:p>
    <w:p w14:paraId="6B9F178A" w14:textId="77777777" w:rsidR="00A56E86" w:rsidRPr="00A56E86" w:rsidRDefault="00A56E86" w:rsidP="00A56E86">
      <w:r w:rsidRPr="00A56E86">
        <w:pict w14:anchorId="5C7A9213">
          <v:rect id="_x0000_i1102" style="width:0;height:1.5pt" o:hralign="center" o:hrstd="t" o:hr="t" fillcolor="#a0a0a0" stroked="f"/>
        </w:pict>
      </w:r>
    </w:p>
    <w:p w14:paraId="5156ED3C" w14:textId="77777777" w:rsidR="00A56E86" w:rsidRPr="00A56E86" w:rsidRDefault="00A56E86" w:rsidP="00A56E86">
      <w:pPr>
        <w:rPr>
          <w:b/>
          <w:bCs/>
        </w:rPr>
      </w:pPr>
      <w:r w:rsidRPr="00A56E86">
        <w:rPr>
          <w:b/>
          <w:bCs/>
        </w:rPr>
        <w:t>8. Taux de pauvreté</w:t>
      </w:r>
    </w:p>
    <w:p w14:paraId="0ED80A6A" w14:textId="77777777" w:rsidR="00A56E86" w:rsidRPr="00A56E86" w:rsidRDefault="00A56E86" w:rsidP="00A56E86">
      <w:r w:rsidRPr="00A56E86">
        <w:rPr>
          <w:b/>
          <w:bCs/>
        </w:rPr>
        <w:t>Définition :</w:t>
      </w:r>
      <w:r w:rsidRPr="00A56E86">
        <w:br/>
        <w:t>Part de la population vivant avec un revenu inférieur à 60% du revenu médian national.</w:t>
      </w:r>
    </w:p>
    <w:p w14:paraId="11144267" w14:textId="77777777" w:rsidR="00A56E86" w:rsidRPr="00A56E86" w:rsidRDefault="00A56E86" w:rsidP="00A56E86">
      <w:r w:rsidRPr="00A56E86">
        <w:rPr>
          <w:b/>
          <w:bCs/>
        </w:rPr>
        <w:t>Calcul :</w:t>
      </w:r>
      <w:r w:rsidRPr="00A56E86">
        <w:br/>
        <w:t>Seuil\ de\ pauvreté = 0.6 \times Revenu\ médian</w:t>
      </w:r>
    </w:p>
    <w:p w14:paraId="51441E3E" w14:textId="77777777" w:rsidR="00A56E86" w:rsidRPr="00A56E86" w:rsidRDefault="00A56E86" w:rsidP="00A56E86">
      <w:r w:rsidRPr="00A56E86">
        <w:t>Puis :</w:t>
      </w:r>
    </w:p>
    <w:p w14:paraId="3D490C89" w14:textId="77777777" w:rsidR="00A56E86" w:rsidRPr="00A56E86" w:rsidRDefault="00A56E86" w:rsidP="00A56E86">
      <w:r w:rsidRPr="00A56E86">
        <w:t>Taux\ de\ pauvreté = \frac{Population\ sous\ le\ seuil}{Population\ totale} \times 100</w:t>
      </w:r>
    </w:p>
    <w:p w14:paraId="3672BFB5" w14:textId="77777777" w:rsidR="00A56E86" w:rsidRPr="00A56E86" w:rsidRDefault="00A56E86" w:rsidP="00A56E86">
      <w:r w:rsidRPr="00A56E86">
        <w:rPr>
          <w:b/>
          <w:bCs/>
        </w:rPr>
        <w:t>Interprétation :</w:t>
      </w:r>
      <w:r w:rsidRPr="00A56E86">
        <w:br/>
        <w:t>Mesure le risque d’exclusion sociale.</w:t>
      </w:r>
    </w:p>
    <w:p w14:paraId="6B3157B8" w14:textId="77777777" w:rsidR="00A56E86" w:rsidRPr="00A56E86" w:rsidRDefault="00A56E86" w:rsidP="00A56E86">
      <w:r w:rsidRPr="00A56E86">
        <w:pict w14:anchorId="6542D76A">
          <v:rect id="_x0000_i1103" style="width:0;height:1.5pt" o:hralign="center" o:hrstd="t" o:hr="t" fillcolor="#a0a0a0" stroked="f"/>
        </w:pict>
      </w:r>
    </w:p>
    <w:p w14:paraId="5EFF2D4C" w14:textId="77777777" w:rsidR="00A56E86" w:rsidRPr="00A56E86" w:rsidRDefault="00A56E86" w:rsidP="00A56E86">
      <w:pPr>
        <w:rPr>
          <w:b/>
          <w:bCs/>
        </w:rPr>
      </w:pPr>
      <w:r w:rsidRPr="00A56E86">
        <w:rPr>
          <w:b/>
          <w:bCs/>
        </w:rPr>
        <w:t>9. Indice de Gini (inégalités)</w:t>
      </w:r>
    </w:p>
    <w:p w14:paraId="7E799565" w14:textId="77777777" w:rsidR="00A56E86" w:rsidRPr="00A56E86" w:rsidRDefault="00A56E86" w:rsidP="00A56E86">
      <w:r w:rsidRPr="00A56E86">
        <w:rPr>
          <w:b/>
          <w:bCs/>
        </w:rPr>
        <w:t>Définition :</w:t>
      </w:r>
      <w:r w:rsidRPr="00A56E86">
        <w:br/>
        <w:t>Indicateur mesurant les inégalités de revenus.</w:t>
      </w:r>
    </w:p>
    <w:p w14:paraId="19654D43" w14:textId="77777777" w:rsidR="00A56E86" w:rsidRPr="00A56E86" w:rsidRDefault="00A56E86" w:rsidP="00A56E86">
      <w:r w:rsidRPr="00A56E86">
        <w:rPr>
          <w:b/>
          <w:bCs/>
        </w:rPr>
        <w:t>Échelle :</w:t>
      </w:r>
    </w:p>
    <w:p w14:paraId="5E51C9B2" w14:textId="77777777" w:rsidR="00A56E86" w:rsidRPr="00A56E86" w:rsidRDefault="00A56E86" w:rsidP="00A56E86">
      <w:pPr>
        <w:numPr>
          <w:ilvl w:val="0"/>
          <w:numId w:val="11"/>
        </w:numPr>
      </w:pPr>
      <w:r w:rsidRPr="00A56E86">
        <w:t>0 = égalité parfaite</w:t>
      </w:r>
    </w:p>
    <w:p w14:paraId="02B3A103" w14:textId="77777777" w:rsidR="00A56E86" w:rsidRPr="00A56E86" w:rsidRDefault="00A56E86" w:rsidP="00A56E86">
      <w:pPr>
        <w:numPr>
          <w:ilvl w:val="0"/>
          <w:numId w:val="11"/>
        </w:numPr>
      </w:pPr>
      <w:r w:rsidRPr="00A56E86">
        <w:t>100 = inégalité totale</w:t>
      </w:r>
    </w:p>
    <w:p w14:paraId="4034A06B" w14:textId="77777777" w:rsidR="00A56E86" w:rsidRPr="00A56E86" w:rsidRDefault="00A56E86" w:rsidP="00A56E86">
      <w:r w:rsidRPr="00A56E86">
        <w:rPr>
          <w:b/>
          <w:bCs/>
        </w:rPr>
        <w:t>Calcul :</w:t>
      </w:r>
      <w:r w:rsidRPr="00A56E86">
        <w:br/>
        <w:t>Basé sur la courbe de Lorenz.</w:t>
      </w:r>
    </w:p>
    <w:p w14:paraId="3DFB08C8" w14:textId="77777777" w:rsidR="00A56E86" w:rsidRPr="00A56E86" w:rsidRDefault="00A56E86" w:rsidP="00A56E86">
      <w:r w:rsidRPr="00A56E86">
        <w:t>Gini = \frac{A}{A+B}</w:t>
      </w:r>
    </w:p>
    <w:p w14:paraId="628CBE51" w14:textId="77777777" w:rsidR="00A56E86" w:rsidRPr="00A56E86" w:rsidRDefault="00A56E86" w:rsidP="00A56E86">
      <w:r w:rsidRPr="00A56E86">
        <w:lastRenderedPageBreak/>
        <w:t>(où A représente la surface entre la courbe de Lorenz et la diagonale d’égalité parfaite)</w:t>
      </w:r>
    </w:p>
    <w:p w14:paraId="4C6E0536" w14:textId="77777777" w:rsidR="00A56E86" w:rsidRPr="00A56E86" w:rsidRDefault="00A56E86" w:rsidP="00A56E86">
      <w:r w:rsidRPr="00A56E86">
        <w:rPr>
          <w:b/>
          <w:bCs/>
        </w:rPr>
        <w:t>Interprétation :</w:t>
      </w:r>
    </w:p>
    <w:p w14:paraId="33CAD603" w14:textId="77777777" w:rsidR="00A56E86" w:rsidRPr="00A56E86" w:rsidRDefault="00A56E86" w:rsidP="00A56E86">
      <w:pPr>
        <w:numPr>
          <w:ilvl w:val="0"/>
          <w:numId w:val="12"/>
        </w:numPr>
      </w:pPr>
      <w:r w:rsidRPr="00A56E86">
        <w:t>Valeur faible → société plus égalitaire.</w:t>
      </w:r>
    </w:p>
    <w:p w14:paraId="0781126D" w14:textId="77777777" w:rsidR="00A56E86" w:rsidRPr="00A56E86" w:rsidRDefault="00A56E86" w:rsidP="00A56E86">
      <w:pPr>
        <w:numPr>
          <w:ilvl w:val="0"/>
          <w:numId w:val="12"/>
        </w:numPr>
      </w:pPr>
      <w:r w:rsidRPr="00A56E86">
        <w:t>Valeur élevée → fortes inégalités.</w:t>
      </w:r>
    </w:p>
    <w:p w14:paraId="7DAC9132" w14:textId="77777777" w:rsidR="00A56E86" w:rsidRPr="00A56E86" w:rsidRDefault="00A56E86" w:rsidP="00A56E86">
      <w:r w:rsidRPr="00A56E86">
        <w:pict w14:anchorId="504EE8A8">
          <v:rect id="_x0000_i1104" style="width:0;height:1.5pt" o:hralign="center" o:hrstd="t" o:hr="t" fillcolor="#a0a0a0" stroked="f"/>
        </w:pict>
      </w:r>
    </w:p>
    <w:p w14:paraId="604B34CE" w14:textId="77777777" w:rsidR="00A56E86" w:rsidRPr="00A56E86" w:rsidRDefault="00A56E86" w:rsidP="00A56E86">
      <w:pPr>
        <w:rPr>
          <w:b/>
          <w:bCs/>
        </w:rPr>
      </w:pPr>
      <w:r w:rsidRPr="00A56E86">
        <w:rPr>
          <w:b/>
          <w:bCs/>
        </w:rPr>
        <w:t>10. Espérance de vie</w:t>
      </w:r>
    </w:p>
    <w:p w14:paraId="4035B69A" w14:textId="77777777" w:rsidR="00A56E86" w:rsidRPr="00A56E86" w:rsidRDefault="00A56E86" w:rsidP="00A56E86">
      <w:r w:rsidRPr="00A56E86">
        <w:rPr>
          <w:b/>
          <w:bCs/>
        </w:rPr>
        <w:t>Définition :</w:t>
      </w:r>
      <w:r w:rsidRPr="00A56E86">
        <w:br/>
        <w:t>Nombre moyen d’années qu’une personne peut espérer vivre à la naissance.</w:t>
      </w:r>
    </w:p>
    <w:p w14:paraId="67AAFDC5" w14:textId="77777777" w:rsidR="00A56E86" w:rsidRPr="00A56E86" w:rsidRDefault="00A56E86" w:rsidP="00A56E86">
      <w:r w:rsidRPr="00A56E86">
        <w:rPr>
          <w:b/>
          <w:bCs/>
        </w:rPr>
        <w:t>Calcul :</w:t>
      </w:r>
      <w:r w:rsidRPr="00A56E86">
        <w:br/>
        <w:t>Basé sur les taux de mortalité par âge observés dans le pays.</w:t>
      </w:r>
    </w:p>
    <w:p w14:paraId="25D667E1" w14:textId="77777777" w:rsidR="00A56E86" w:rsidRPr="00A56E86" w:rsidRDefault="00A56E86" w:rsidP="00A56E86">
      <w:r w:rsidRPr="00A56E86">
        <w:rPr>
          <w:b/>
          <w:bCs/>
        </w:rPr>
        <w:t>Interprétation :</w:t>
      </w:r>
      <w:r w:rsidRPr="00A56E86">
        <w:br/>
        <w:t>Indicateur global du niveau de développement et du système de santé.</w:t>
      </w:r>
    </w:p>
    <w:p w14:paraId="2D5BD923" w14:textId="77777777" w:rsidR="00A56E86" w:rsidRPr="00A56E86" w:rsidRDefault="00A56E86" w:rsidP="00A56E86">
      <w:r w:rsidRPr="00A56E86">
        <w:pict w14:anchorId="7E404520">
          <v:rect id="_x0000_i1105" style="width:0;height:1.5pt" o:hralign="center" o:hrstd="t" o:hr="t" fillcolor="#a0a0a0" stroked="f"/>
        </w:pict>
      </w:r>
    </w:p>
    <w:p w14:paraId="37A5E89C" w14:textId="77777777" w:rsidR="00A56E86" w:rsidRPr="00A56E86" w:rsidRDefault="00A56E86" w:rsidP="00A56E86">
      <w:pPr>
        <w:rPr>
          <w:b/>
          <w:bCs/>
        </w:rPr>
      </w:pPr>
      <w:r w:rsidRPr="00A56E86">
        <w:rPr>
          <w:b/>
          <w:bCs/>
        </w:rPr>
        <w:t>11. Dépenses de logement (% du revenu)</w:t>
      </w:r>
    </w:p>
    <w:p w14:paraId="72D97ACA" w14:textId="77777777" w:rsidR="00A56E86" w:rsidRPr="00A56E86" w:rsidRDefault="00A56E86" w:rsidP="00A56E86">
      <w:r w:rsidRPr="00A56E86">
        <w:rPr>
          <w:b/>
          <w:bCs/>
        </w:rPr>
        <w:t>Définition :</w:t>
      </w:r>
      <w:r w:rsidRPr="00A56E86">
        <w:br/>
        <w:t>Part du revenu des ménages consacrée au logement.</w:t>
      </w:r>
    </w:p>
    <w:p w14:paraId="1C489A96" w14:textId="77777777" w:rsidR="00A56E86" w:rsidRPr="00A56E86" w:rsidRDefault="00A56E86" w:rsidP="00A56E86">
      <w:r w:rsidRPr="00A56E86">
        <w:rPr>
          <w:b/>
          <w:bCs/>
        </w:rPr>
        <w:t>Calcul :</w:t>
      </w:r>
      <w:r w:rsidRPr="00A56E86">
        <w:br/>
        <w:t>Dépenses\ logement = \frac{Dépenses\ de\ logement}{Revenu\ disponible} \times 100</w:t>
      </w:r>
    </w:p>
    <w:p w14:paraId="285F2211" w14:textId="77777777" w:rsidR="00A56E86" w:rsidRPr="00A56E86" w:rsidRDefault="00A56E86" w:rsidP="00A56E86">
      <w:r w:rsidRPr="00A56E86">
        <w:t>Les dépenses incluent :</w:t>
      </w:r>
    </w:p>
    <w:p w14:paraId="64AABB24" w14:textId="77777777" w:rsidR="00A56E86" w:rsidRPr="00A56E86" w:rsidRDefault="00A56E86" w:rsidP="00A56E86">
      <w:pPr>
        <w:numPr>
          <w:ilvl w:val="0"/>
          <w:numId w:val="13"/>
        </w:numPr>
      </w:pPr>
      <w:r w:rsidRPr="00A56E86">
        <w:t>loyer,</w:t>
      </w:r>
    </w:p>
    <w:p w14:paraId="04DA5389" w14:textId="77777777" w:rsidR="00A56E86" w:rsidRPr="00A56E86" w:rsidRDefault="00A56E86" w:rsidP="00A56E86">
      <w:pPr>
        <w:numPr>
          <w:ilvl w:val="0"/>
          <w:numId w:val="13"/>
        </w:numPr>
      </w:pPr>
      <w:r w:rsidRPr="00A56E86">
        <w:t>crédit immobilier,</w:t>
      </w:r>
    </w:p>
    <w:p w14:paraId="46C3611F" w14:textId="77777777" w:rsidR="00A56E86" w:rsidRPr="00A56E86" w:rsidRDefault="00A56E86" w:rsidP="00A56E86">
      <w:pPr>
        <w:numPr>
          <w:ilvl w:val="0"/>
          <w:numId w:val="13"/>
        </w:numPr>
      </w:pPr>
      <w:r w:rsidRPr="00A56E86">
        <w:t>charges,</w:t>
      </w:r>
    </w:p>
    <w:p w14:paraId="5071BE7F" w14:textId="77777777" w:rsidR="00A56E86" w:rsidRPr="00A56E86" w:rsidRDefault="00A56E86" w:rsidP="00A56E86">
      <w:pPr>
        <w:numPr>
          <w:ilvl w:val="0"/>
          <w:numId w:val="13"/>
        </w:numPr>
      </w:pPr>
      <w:r w:rsidRPr="00A56E86">
        <w:t>énergie.</w:t>
      </w:r>
    </w:p>
    <w:p w14:paraId="36A5FEFB" w14:textId="77777777" w:rsidR="00A56E86" w:rsidRPr="00A56E86" w:rsidRDefault="00A56E86" w:rsidP="00A56E86">
      <w:r w:rsidRPr="00A56E86">
        <w:rPr>
          <w:b/>
          <w:bCs/>
        </w:rPr>
        <w:t>Interprétation :</w:t>
      </w:r>
    </w:p>
    <w:p w14:paraId="1933ABCB" w14:textId="77777777" w:rsidR="00A56E86" w:rsidRPr="00A56E86" w:rsidRDefault="00A56E86" w:rsidP="00A56E86">
      <w:pPr>
        <w:numPr>
          <w:ilvl w:val="0"/>
          <w:numId w:val="14"/>
        </w:numPr>
      </w:pPr>
      <w:r w:rsidRPr="00A56E86">
        <w:t>Valeur élevée → pression financière importante sur les ménages.</w:t>
      </w:r>
    </w:p>
    <w:p w14:paraId="6E523E98" w14:textId="77777777" w:rsidR="00A56E86" w:rsidRPr="00A56E86" w:rsidRDefault="00A56E86" w:rsidP="00A56E86">
      <w:r w:rsidRPr="00A56E86">
        <w:pict w14:anchorId="02A8E380">
          <v:rect id="_x0000_i1106" style="width:0;height:1.5pt" o:hralign="center" o:hrstd="t" o:hr="t" fillcolor="#a0a0a0" stroked="f"/>
        </w:pict>
      </w:r>
    </w:p>
    <w:p w14:paraId="643841BB" w14:textId="77777777" w:rsidR="00A56E86" w:rsidRPr="00A56E86" w:rsidRDefault="00A56E86" w:rsidP="00A56E86">
      <w:pPr>
        <w:rPr>
          <w:b/>
          <w:bCs/>
        </w:rPr>
      </w:pPr>
      <w:r w:rsidRPr="00A56E86">
        <w:rPr>
          <w:b/>
          <w:bCs/>
        </w:rPr>
        <w:t>12. Taux de privation matérielle</w:t>
      </w:r>
    </w:p>
    <w:p w14:paraId="5D3E8E28" w14:textId="77777777" w:rsidR="00A56E86" w:rsidRPr="00A56E86" w:rsidRDefault="00A56E86" w:rsidP="00A56E86">
      <w:r w:rsidRPr="00A56E86">
        <w:rPr>
          <w:b/>
          <w:bCs/>
        </w:rPr>
        <w:lastRenderedPageBreak/>
        <w:t>Définition :</w:t>
      </w:r>
      <w:r w:rsidRPr="00A56E86">
        <w:br/>
        <w:t>Pourcentage de personnes incapables de payer certains biens ou services essentiels.</w:t>
      </w:r>
    </w:p>
    <w:p w14:paraId="43E06B99" w14:textId="77777777" w:rsidR="00A56E86" w:rsidRPr="00A56E86" w:rsidRDefault="00A56E86" w:rsidP="00A56E86">
      <w:r w:rsidRPr="00A56E86">
        <w:rPr>
          <w:b/>
          <w:bCs/>
        </w:rPr>
        <w:t>Exemples pris en compte par Eurostat :</w:t>
      </w:r>
    </w:p>
    <w:p w14:paraId="138CA8F9" w14:textId="77777777" w:rsidR="00A56E86" w:rsidRPr="00A56E86" w:rsidRDefault="00A56E86" w:rsidP="00A56E86">
      <w:pPr>
        <w:numPr>
          <w:ilvl w:val="0"/>
          <w:numId w:val="15"/>
        </w:numPr>
      </w:pPr>
      <w:r w:rsidRPr="00A56E86">
        <w:t>chauffer correctement le logement,</w:t>
      </w:r>
    </w:p>
    <w:p w14:paraId="163B0A83" w14:textId="77777777" w:rsidR="00A56E86" w:rsidRPr="00A56E86" w:rsidRDefault="00A56E86" w:rsidP="00A56E86">
      <w:pPr>
        <w:numPr>
          <w:ilvl w:val="0"/>
          <w:numId w:val="15"/>
        </w:numPr>
      </w:pPr>
      <w:r w:rsidRPr="00A56E86">
        <w:t>payer des vacances,</w:t>
      </w:r>
    </w:p>
    <w:p w14:paraId="720F03F3" w14:textId="77777777" w:rsidR="00A56E86" w:rsidRPr="00A56E86" w:rsidRDefault="00A56E86" w:rsidP="00A56E86">
      <w:pPr>
        <w:numPr>
          <w:ilvl w:val="0"/>
          <w:numId w:val="15"/>
        </w:numPr>
      </w:pPr>
      <w:r w:rsidRPr="00A56E86">
        <w:t>remplacer des meubles usés,</w:t>
      </w:r>
    </w:p>
    <w:p w14:paraId="4517829B" w14:textId="77777777" w:rsidR="00A56E86" w:rsidRPr="00A56E86" w:rsidRDefault="00A56E86" w:rsidP="00A56E86">
      <w:pPr>
        <w:numPr>
          <w:ilvl w:val="0"/>
          <w:numId w:val="15"/>
        </w:numPr>
      </w:pPr>
      <w:r w:rsidRPr="00A56E86">
        <w:t>faire face à une dépense imprévue.</w:t>
      </w:r>
    </w:p>
    <w:p w14:paraId="31FA3B91" w14:textId="77777777" w:rsidR="00A56E86" w:rsidRPr="00A56E86" w:rsidRDefault="00A56E86" w:rsidP="00A56E86">
      <w:r w:rsidRPr="00A56E86">
        <w:rPr>
          <w:b/>
          <w:bCs/>
        </w:rPr>
        <w:t>Calcul :</w:t>
      </w:r>
      <w:r w:rsidRPr="00A56E86">
        <w:br/>
        <w:t>Taux\ de\ privation\ matérielle = \frac{Population\ privée\ de\ biens\ essentiels}{Population\ totale} \times 100</w:t>
      </w:r>
    </w:p>
    <w:p w14:paraId="67CBF98C" w14:textId="77777777" w:rsidR="00A56E86" w:rsidRPr="00A56E86" w:rsidRDefault="00A56E86" w:rsidP="00A56E86">
      <w:r w:rsidRPr="00A56E86">
        <w:rPr>
          <w:b/>
          <w:bCs/>
        </w:rPr>
        <w:t>Interprétation :</w:t>
      </w:r>
      <w:r w:rsidRPr="00A56E86">
        <w:br/>
        <w:t>Mesure concrète des difficultés de vie quotidienne.</w:t>
      </w:r>
    </w:p>
    <w:p w14:paraId="7027F9C8" w14:textId="77777777" w:rsidR="00A56E86" w:rsidRDefault="00A56E86"/>
    <w:p w14:paraId="653AEB71" w14:textId="7C2EF301" w:rsidR="00442756" w:rsidRPr="00442756" w:rsidRDefault="00442756">
      <w:pPr>
        <w:rPr>
          <w:lang w:val="pt-BR"/>
        </w:rPr>
      </w:pPr>
      <w:r w:rsidRPr="00442756">
        <w:rPr>
          <w:b/>
          <w:bCs/>
          <w:lang w:val="pt-BR"/>
        </w:rPr>
        <w:t>Referências:</w:t>
      </w:r>
      <w:r w:rsidRPr="00442756">
        <w:rPr>
          <w:lang w:val="pt-BR"/>
        </w:rPr>
        <w:t> Unidades PNUD – Relatório de Desenvolvimento Humano 2023/24 (dados de 2023). (Os valores e classificações acima seguem metodologia do HDI da ONU.)</w:t>
      </w:r>
    </w:p>
    <w:sectPr w:rsidR="00442756" w:rsidRPr="004427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64D"/>
    <w:multiLevelType w:val="multilevel"/>
    <w:tmpl w:val="7816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F6CAA"/>
    <w:multiLevelType w:val="multilevel"/>
    <w:tmpl w:val="FCF2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76722"/>
    <w:multiLevelType w:val="multilevel"/>
    <w:tmpl w:val="9EF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05E0A"/>
    <w:multiLevelType w:val="multilevel"/>
    <w:tmpl w:val="FA4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B70DC"/>
    <w:multiLevelType w:val="multilevel"/>
    <w:tmpl w:val="C9C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F710A"/>
    <w:multiLevelType w:val="multilevel"/>
    <w:tmpl w:val="BE08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C3133"/>
    <w:multiLevelType w:val="multilevel"/>
    <w:tmpl w:val="61A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65F5A"/>
    <w:multiLevelType w:val="multilevel"/>
    <w:tmpl w:val="860A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F491B"/>
    <w:multiLevelType w:val="multilevel"/>
    <w:tmpl w:val="BC3E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A6286"/>
    <w:multiLevelType w:val="multilevel"/>
    <w:tmpl w:val="D2A4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42F12"/>
    <w:multiLevelType w:val="multilevel"/>
    <w:tmpl w:val="0614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C3CD9"/>
    <w:multiLevelType w:val="multilevel"/>
    <w:tmpl w:val="21C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12B78"/>
    <w:multiLevelType w:val="multilevel"/>
    <w:tmpl w:val="9D96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66FC2"/>
    <w:multiLevelType w:val="multilevel"/>
    <w:tmpl w:val="65C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01E36"/>
    <w:multiLevelType w:val="multilevel"/>
    <w:tmpl w:val="5C96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020403">
    <w:abstractNumId w:val="8"/>
  </w:num>
  <w:num w:numId="2" w16cid:durableId="396902567">
    <w:abstractNumId w:val="3"/>
  </w:num>
  <w:num w:numId="3" w16cid:durableId="1107580814">
    <w:abstractNumId w:val="14"/>
  </w:num>
  <w:num w:numId="4" w16cid:durableId="2117484521">
    <w:abstractNumId w:val="6"/>
  </w:num>
  <w:num w:numId="5" w16cid:durableId="931625255">
    <w:abstractNumId w:val="2"/>
  </w:num>
  <w:num w:numId="6" w16cid:durableId="2024939019">
    <w:abstractNumId w:val="1"/>
  </w:num>
  <w:num w:numId="7" w16cid:durableId="102964709">
    <w:abstractNumId w:val="5"/>
  </w:num>
  <w:num w:numId="8" w16cid:durableId="1385566054">
    <w:abstractNumId w:val="4"/>
  </w:num>
  <w:num w:numId="9" w16cid:durableId="695348626">
    <w:abstractNumId w:val="9"/>
  </w:num>
  <w:num w:numId="10" w16cid:durableId="425463931">
    <w:abstractNumId w:val="10"/>
  </w:num>
  <w:num w:numId="11" w16cid:durableId="2711117">
    <w:abstractNumId w:val="0"/>
  </w:num>
  <w:num w:numId="12" w16cid:durableId="779102917">
    <w:abstractNumId w:val="11"/>
  </w:num>
  <w:num w:numId="13" w16cid:durableId="756756309">
    <w:abstractNumId w:val="12"/>
  </w:num>
  <w:num w:numId="14" w16cid:durableId="883326906">
    <w:abstractNumId w:val="13"/>
  </w:num>
  <w:num w:numId="15" w16cid:durableId="223221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83"/>
    <w:rsid w:val="00111BA4"/>
    <w:rsid w:val="00137983"/>
    <w:rsid w:val="00442756"/>
    <w:rsid w:val="004443EA"/>
    <w:rsid w:val="00603383"/>
    <w:rsid w:val="00834569"/>
    <w:rsid w:val="008C5123"/>
    <w:rsid w:val="00923C1B"/>
    <w:rsid w:val="00A56E86"/>
    <w:rsid w:val="00C06A58"/>
    <w:rsid w:val="00DC2B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8E659"/>
  <w15:chartTrackingRefBased/>
  <w15:docId w15:val="{7488ED52-275A-4F36-B8E2-49D94D7A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03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03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033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033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033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033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033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033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0338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338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0338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0338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0338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0338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0338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0338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0338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03383"/>
    <w:rPr>
      <w:rFonts w:eastAsiaTheme="majorEastAsia" w:cstheme="majorBidi"/>
      <w:color w:val="272727" w:themeColor="text1" w:themeTint="D8"/>
    </w:rPr>
  </w:style>
  <w:style w:type="paragraph" w:styleId="Ttulo">
    <w:name w:val="Title"/>
    <w:basedOn w:val="Normal"/>
    <w:next w:val="Normal"/>
    <w:link w:val="TtuloChar"/>
    <w:uiPriority w:val="10"/>
    <w:qFormat/>
    <w:rsid w:val="00603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033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0338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0338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03383"/>
    <w:pPr>
      <w:spacing w:before="160"/>
      <w:jc w:val="center"/>
    </w:pPr>
    <w:rPr>
      <w:i/>
      <w:iCs/>
      <w:color w:val="404040" w:themeColor="text1" w:themeTint="BF"/>
    </w:rPr>
  </w:style>
  <w:style w:type="character" w:customStyle="1" w:styleId="CitaoChar">
    <w:name w:val="Citação Char"/>
    <w:basedOn w:val="Fontepargpadro"/>
    <w:link w:val="Citao"/>
    <w:uiPriority w:val="29"/>
    <w:rsid w:val="00603383"/>
    <w:rPr>
      <w:i/>
      <w:iCs/>
      <w:color w:val="404040" w:themeColor="text1" w:themeTint="BF"/>
    </w:rPr>
  </w:style>
  <w:style w:type="paragraph" w:styleId="PargrafodaLista">
    <w:name w:val="List Paragraph"/>
    <w:basedOn w:val="Normal"/>
    <w:uiPriority w:val="34"/>
    <w:qFormat/>
    <w:rsid w:val="00603383"/>
    <w:pPr>
      <w:ind w:left="720"/>
      <w:contextualSpacing/>
    </w:pPr>
  </w:style>
  <w:style w:type="character" w:styleId="nfaseIntensa">
    <w:name w:val="Intense Emphasis"/>
    <w:basedOn w:val="Fontepargpadro"/>
    <w:uiPriority w:val="21"/>
    <w:qFormat/>
    <w:rsid w:val="00603383"/>
    <w:rPr>
      <w:i/>
      <w:iCs/>
      <w:color w:val="0F4761" w:themeColor="accent1" w:themeShade="BF"/>
    </w:rPr>
  </w:style>
  <w:style w:type="paragraph" w:styleId="CitaoIntensa">
    <w:name w:val="Intense Quote"/>
    <w:basedOn w:val="Normal"/>
    <w:next w:val="Normal"/>
    <w:link w:val="CitaoIntensaChar"/>
    <w:uiPriority w:val="30"/>
    <w:qFormat/>
    <w:rsid w:val="00603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03383"/>
    <w:rPr>
      <w:i/>
      <w:iCs/>
      <w:color w:val="0F4761" w:themeColor="accent1" w:themeShade="BF"/>
    </w:rPr>
  </w:style>
  <w:style w:type="character" w:styleId="RefernciaIntensa">
    <w:name w:val="Intense Reference"/>
    <w:basedOn w:val="Fontepargpadro"/>
    <w:uiPriority w:val="32"/>
    <w:qFormat/>
    <w:rsid w:val="00603383"/>
    <w:rPr>
      <w:b/>
      <w:bCs/>
      <w:smallCaps/>
      <w:color w:val="0F4761" w:themeColor="accent1" w:themeShade="BF"/>
      <w:spacing w:val="5"/>
    </w:rPr>
  </w:style>
  <w:style w:type="character" w:styleId="Hyperlink">
    <w:name w:val="Hyperlink"/>
    <w:basedOn w:val="Fontepargpadro"/>
    <w:uiPriority w:val="99"/>
    <w:unhideWhenUsed/>
    <w:rsid w:val="00603383"/>
    <w:rPr>
      <w:color w:val="467886" w:themeColor="hyperlink"/>
      <w:u w:val="single"/>
    </w:rPr>
  </w:style>
  <w:style w:type="character" w:styleId="MenoPendente">
    <w:name w:val="Unresolved Mention"/>
    <w:basedOn w:val="Fontepargpadro"/>
    <w:uiPriority w:val="99"/>
    <w:semiHidden/>
    <w:unhideWhenUsed/>
    <w:rsid w:val="006033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searchgate.net/publication/398621955_The_Eurozone_and_the_Optimal_Currency_Area_Theory_A_Critical_Evaluation"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13</Pages>
  <Words>3819</Words>
  <Characters>21008</Characters>
  <Application>Microsoft Office Word</Application>
  <DocSecurity>0</DocSecurity>
  <Lines>175</Lines>
  <Paragraphs>49</Paragraphs>
  <ScaleCrop>false</ScaleCrop>
  <Company/>
  <LinksUpToDate>false</LinksUpToDate>
  <CharactersWithSpaces>24778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Mariano Albuquerque</dc:creator>
  <cp:keywords/>
  <dc:description/>
  <cp:lastModifiedBy>Melissa Mariano Albuquerque</cp:lastModifiedBy>
  <cp:revision>8</cp:revision>
  <dcterms:created xsi:type="dcterms:W3CDTF">2026-05-22T12:31:00Z</dcterms:created>
  <dcterms:modified xsi:type="dcterms:W3CDTF">2026-05-22T16:47:00Z</dcterms:modified>
</cp:coreProperties>
</file>