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7E82" w14:textId="4A11EF63" w:rsidR="00D953B9" w:rsidRDefault="00695566" w:rsidP="00511715">
      <w:pPr>
        <w:jc w:val="both"/>
      </w:pPr>
      <w:r>
        <w:t>Parte 2 – respuestas</w:t>
      </w:r>
    </w:p>
    <w:p w14:paraId="6D3CC3FC" w14:textId="20D4451F" w:rsidR="00BD4074" w:rsidRDefault="00BD4074" w:rsidP="00511715">
      <w:pPr>
        <w:jc w:val="both"/>
      </w:pPr>
      <w:r>
        <w:t>1.</w:t>
      </w:r>
    </w:p>
    <w:p w14:paraId="14CD10D6" w14:textId="566BFE96" w:rsidR="00695566" w:rsidRDefault="00695566" w:rsidP="00511715">
      <w:pPr>
        <w:pStyle w:val="Prrafodelista"/>
        <w:numPr>
          <w:ilvl w:val="0"/>
          <w:numId w:val="2"/>
        </w:numPr>
        <w:jc w:val="both"/>
      </w:pPr>
      <w:r>
        <w:t>¿Cómo cree que un portafolio podría aprovechar la situación descrita anteriormente?</w:t>
      </w:r>
    </w:p>
    <w:p w14:paraId="6E35B4F4" w14:textId="0FE52AAC" w:rsidR="00F852F7" w:rsidRDefault="00F852F7" w:rsidP="00511715">
      <w:pPr>
        <w:pStyle w:val="Prrafodelista"/>
        <w:jc w:val="both"/>
      </w:pPr>
      <w:r>
        <w:t xml:space="preserve">La situación descrita puede ser utilizada desde una lógica de asignación de portafolio y de valor relativo entre mercado loca vs mercado internacional. Así, dado que los emisores AAA locales presentan spreads inferiores a los sintéticos USD internacionales, con riesgo crediticio comparable; el portafolio puede evaluar si prioriza estabilidad y menor volatilidad en mercado local o si resulta más conveniente asumir exposición internacional para capturar una mayor prima de riesgo, considerando factores como liquidez, costos y límites de riesgo. </w:t>
      </w:r>
    </w:p>
    <w:p w14:paraId="312E05BA" w14:textId="77777777" w:rsidR="00F852F7" w:rsidRDefault="00F852F7" w:rsidP="00511715">
      <w:pPr>
        <w:pStyle w:val="Prrafodelista"/>
        <w:jc w:val="both"/>
      </w:pPr>
    </w:p>
    <w:p w14:paraId="2DEA0F57" w14:textId="77777777" w:rsidR="00511715" w:rsidRDefault="00695566" w:rsidP="00511715">
      <w:pPr>
        <w:pStyle w:val="Prrafodelista"/>
        <w:numPr>
          <w:ilvl w:val="0"/>
          <w:numId w:val="2"/>
        </w:numPr>
        <w:jc w:val="both"/>
      </w:pPr>
      <w:r>
        <w:t>¿Cómo lo implementaría?</w:t>
      </w:r>
    </w:p>
    <w:p w14:paraId="48673DBE" w14:textId="4D76D7CB" w:rsidR="00F852F7" w:rsidRPr="00F852F7" w:rsidRDefault="00F852F7" w:rsidP="00511715">
      <w:pPr>
        <w:pStyle w:val="Prrafodelista"/>
        <w:jc w:val="both"/>
      </w:pPr>
      <w:r w:rsidRPr="00F852F7">
        <w:rPr>
          <w:rFonts w:ascii="Segoe UI" w:eastAsia="Times New Roman" w:hAnsi="Segoe UI" w:cs="Segoe UI"/>
          <w:kern w:val="0"/>
          <w:sz w:val="21"/>
          <w:szCs w:val="21"/>
          <w:lang w:eastAsia="es-CO"/>
          <w14:ligatures w14:val="none"/>
        </w:rPr>
        <w:br/>
      </w:r>
      <w:r w:rsidRPr="00F852F7">
        <w:rPr>
          <w:rFonts w:ascii="Segoe UI" w:eastAsia="Times New Roman" w:hAnsi="Segoe UI" w:cs="Segoe UI"/>
          <w:kern w:val="0"/>
          <w:sz w:val="21"/>
          <w:szCs w:val="21"/>
          <w:lang w:eastAsia="es-CO"/>
          <w14:ligatures w14:val="none"/>
        </w:rPr>
        <w:t>1</w:t>
      </w:r>
      <w:r w:rsidRPr="00F852F7">
        <w:t xml:space="preserve">. </w:t>
      </w:r>
      <w:r>
        <w:t>S</w:t>
      </w:r>
      <w:r w:rsidRPr="00F852F7">
        <w:t>eleccionar un bono internacional en dólares de un emisor con riesgo crediticio comparable</w:t>
      </w:r>
      <w:r w:rsidR="00287614">
        <w:t>.</w:t>
      </w:r>
      <w:r w:rsidRPr="00F852F7">
        <w:br/>
      </w:r>
      <w:r w:rsidRPr="00F852F7">
        <w:t xml:space="preserve">2. </w:t>
      </w:r>
      <w:r w:rsidR="00287614">
        <w:t>Convertir sus flujos fijos a una tasa flotante referenciada a SORF mediante un swap de tasa de interés</w:t>
      </w:r>
      <w:r w:rsidRPr="00F852F7">
        <w:br/>
      </w:r>
      <w:r w:rsidRPr="00F852F7">
        <w:t xml:space="preserve">3. </w:t>
      </w:r>
      <w:r w:rsidR="00287614">
        <w:t>Transformar</w:t>
      </w:r>
      <w:r w:rsidRPr="00F852F7">
        <w:t xml:space="preserve"> </w:t>
      </w:r>
      <w:r w:rsidRPr="00F852F7">
        <w:t xml:space="preserve">dichos flujos a IBR a través de un Cross </w:t>
      </w:r>
      <w:proofErr w:type="spellStart"/>
      <w:r w:rsidRPr="00F852F7">
        <w:t>Currency</w:t>
      </w:r>
      <w:proofErr w:type="spellEnd"/>
      <w:r w:rsidRPr="00F852F7">
        <w:t xml:space="preserve"> Basis Swap (CCBS).</w:t>
      </w:r>
      <w:r w:rsidRPr="00F852F7">
        <w:br/>
        <w:t>Esto permite tener una referencia en moneda local para comparar de forma consistente el spread frente a alternativas AAA locales dentro del portafolio.</w:t>
      </w:r>
    </w:p>
    <w:p w14:paraId="54FFFD86" w14:textId="77777777" w:rsidR="00F852F7" w:rsidRDefault="00F852F7" w:rsidP="00511715">
      <w:pPr>
        <w:pStyle w:val="Prrafodelista"/>
        <w:jc w:val="both"/>
      </w:pPr>
    </w:p>
    <w:p w14:paraId="3E853379" w14:textId="78C515B2" w:rsidR="00695566" w:rsidRDefault="00695566" w:rsidP="00511715">
      <w:pPr>
        <w:pStyle w:val="Prrafodelista"/>
        <w:numPr>
          <w:ilvl w:val="0"/>
          <w:numId w:val="2"/>
        </w:numPr>
        <w:jc w:val="both"/>
      </w:pPr>
      <w:r>
        <w:t>¿Si le pidieran que ejecute esta operación, qué cosas necesitaría?</w:t>
      </w:r>
    </w:p>
    <w:p w14:paraId="5189B934" w14:textId="77777777" w:rsidR="00511715" w:rsidRDefault="00511715" w:rsidP="00511715">
      <w:pPr>
        <w:pStyle w:val="Prrafodelista"/>
        <w:jc w:val="both"/>
      </w:pPr>
    </w:p>
    <w:p w14:paraId="58BD7F2F" w14:textId="57F1659F" w:rsidR="00695566" w:rsidRDefault="00BD4074" w:rsidP="00511715">
      <w:pPr>
        <w:pStyle w:val="Prrafodelista"/>
        <w:jc w:val="both"/>
      </w:pPr>
      <w:r>
        <w:t xml:space="preserve">Para ejecutar esta operación sería necesario: </w:t>
      </w:r>
    </w:p>
    <w:p w14:paraId="083E0B9F" w14:textId="37C054A8" w:rsidR="00BD4074" w:rsidRDefault="00BD4074" w:rsidP="00511715">
      <w:pPr>
        <w:pStyle w:val="Prrafodelista"/>
        <w:numPr>
          <w:ilvl w:val="0"/>
          <w:numId w:val="3"/>
        </w:numPr>
        <w:jc w:val="both"/>
      </w:pPr>
      <w:r>
        <w:t>Contar con acceso a mercado internacional de bonos</w:t>
      </w:r>
    </w:p>
    <w:p w14:paraId="14CDD711" w14:textId="17BE6E67" w:rsidR="00BD4074" w:rsidRDefault="00BD4074" w:rsidP="00511715">
      <w:pPr>
        <w:pStyle w:val="Prrafodelista"/>
        <w:numPr>
          <w:ilvl w:val="0"/>
          <w:numId w:val="3"/>
        </w:numPr>
        <w:jc w:val="both"/>
      </w:pPr>
      <w:r>
        <w:t>Capacidad para realizar swaps de tasa y CCBS con contrapartes aprobadas.</w:t>
      </w:r>
    </w:p>
    <w:p w14:paraId="70B1E967" w14:textId="52D8FBD4" w:rsidR="00BD4074" w:rsidRDefault="00BD4074" w:rsidP="00511715">
      <w:pPr>
        <w:pStyle w:val="Prrafodelista"/>
        <w:numPr>
          <w:ilvl w:val="0"/>
          <w:numId w:val="3"/>
        </w:numPr>
        <w:jc w:val="both"/>
      </w:pPr>
      <w:r>
        <w:t>Límites de riesgo de mercado y crédito debidamente habilitados.</w:t>
      </w:r>
    </w:p>
    <w:p w14:paraId="20F119F7" w14:textId="75D56B5B" w:rsidR="00BD4074" w:rsidRDefault="00BD4074" w:rsidP="00511715">
      <w:pPr>
        <w:ind w:left="720"/>
        <w:jc w:val="both"/>
      </w:pPr>
      <w:r>
        <w:t>De igual forma, sería necesario soporte operativo y legal para la gestión de contratos, así como análisis de liquidez, costos de transacción y riesgo de base, para garantizar que la operación sea coherente con las políticas y objetivos del portafolio.</w:t>
      </w:r>
    </w:p>
    <w:p w14:paraId="1BD0DCC7" w14:textId="7A311496" w:rsidR="00E1002A" w:rsidRDefault="00E1002A" w:rsidP="00E1002A">
      <w:pPr>
        <w:jc w:val="both"/>
      </w:pPr>
      <w:r>
        <w:t xml:space="preserve">2. </w:t>
      </w:r>
    </w:p>
    <w:p w14:paraId="52261369" w14:textId="6A6BA83F" w:rsidR="00E1002A" w:rsidRDefault="00E1002A" w:rsidP="00E1002A">
      <w:pPr>
        <w:pStyle w:val="Prrafodelista"/>
        <w:numPr>
          <w:ilvl w:val="0"/>
          <w:numId w:val="4"/>
        </w:numPr>
        <w:jc w:val="both"/>
      </w:pPr>
      <w:r w:rsidRPr="00E1002A">
        <w:t>¿Le parece razonable esta situación? Explique</w:t>
      </w:r>
    </w:p>
    <w:p w14:paraId="2C1A23C2" w14:textId="130EE279" w:rsidR="00E1002A" w:rsidRDefault="00E1002A" w:rsidP="00E1002A">
      <w:pPr>
        <w:pStyle w:val="Prrafodelista"/>
        <w:ind w:left="1080"/>
        <w:jc w:val="both"/>
      </w:pPr>
      <w:r>
        <w:t xml:space="preserve">Creo que esta relación es razonable. En fases de crecimiento de la cartera del sistema financiero, se aumenta el apetito de riesgo y la expansión del crédito, lo que suele venir acompañado de una mayor prima exigida por el mercado, incluso para emisores AAA. Cuando la cartera se desacelera, la demanda se concentra en activos de mayor calidad, generando compresión de spreads frente a los TES. </w:t>
      </w:r>
    </w:p>
    <w:p w14:paraId="46D882A2" w14:textId="77777777" w:rsidR="00E1002A" w:rsidRDefault="00E1002A" w:rsidP="00E1002A">
      <w:pPr>
        <w:pStyle w:val="Prrafodelista"/>
        <w:ind w:left="1080"/>
        <w:jc w:val="both"/>
      </w:pPr>
    </w:p>
    <w:p w14:paraId="38689FD7" w14:textId="61772453" w:rsidR="00E1002A" w:rsidRDefault="00E1002A" w:rsidP="00E1002A">
      <w:pPr>
        <w:pStyle w:val="Prrafodelista"/>
        <w:numPr>
          <w:ilvl w:val="0"/>
          <w:numId w:val="4"/>
        </w:numPr>
        <w:jc w:val="both"/>
      </w:pPr>
      <w:r w:rsidRPr="00E1002A">
        <w:t>¿Cree que un portafolio podría aprovechar la situación descrita anteriormente? ¿Cómo?</w:t>
      </w:r>
    </w:p>
    <w:p w14:paraId="481FB5F8" w14:textId="4F3EA580" w:rsidR="002A421F" w:rsidRDefault="002A421F" w:rsidP="002A421F">
      <w:pPr>
        <w:pStyle w:val="Prrafodelista"/>
        <w:ind w:left="1080"/>
        <w:jc w:val="both"/>
      </w:pPr>
      <w:r>
        <w:t xml:space="preserve">Un portafolio puede aprovechar esta situación ajustando la exposición a deuda AAA a lo largo del ciclo crediticio. Así, cuando el crecimiento de cartera es alto y los </w:t>
      </w:r>
      <w:r>
        <w:lastRenderedPageBreak/>
        <w:t xml:space="preserve">spreads se amplían, la deuda AAA ofrece una mejor prima manteniendo bajo riesgo, por lo que podríamos aumentar exposición. En fases de desaceleración, cuando los spreads se comprimen, el portafolio puede reducir posiciones o tomar utilidades, alineándose con el entorno de mercado. </w:t>
      </w:r>
    </w:p>
    <w:sectPr w:rsidR="002A42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2708B"/>
    <w:multiLevelType w:val="hybridMultilevel"/>
    <w:tmpl w:val="3A88EC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8B8263F"/>
    <w:multiLevelType w:val="hybridMultilevel"/>
    <w:tmpl w:val="497EFEE8"/>
    <w:lvl w:ilvl="0" w:tplc="2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FC56A2"/>
    <w:multiLevelType w:val="hybridMultilevel"/>
    <w:tmpl w:val="EB7ED526"/>
    <w:lvl w:ilvl="0" w:tplc="78FE370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48424AEE"/>
    <w:multiLevelType w:val="hybridMultilevel"/>
    <w:tmpl w:val="CCD20F52"/>
    <w:lvl w:ilvl="0" w:tplc="240A0017">
      <w:start w:val="1"/>
      <w:numFmt w:val="lowerLetter"/>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74658419">
    <w:abstractNumId w:val="0"/>
  </w:num>
  <w:num w:numId="2" w16cid:durableId="1893807785">
    <w:abstractNumId w:val="1"/>
  </w:num>
  <w:num w:numId="3" w16cid:durableId="145325159">
    <w:abstractNumId w:val="2"/>
  </w:num>
  <w:num w:numId="4" w16cid:durableId="261183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B8"/>
    <w:rsid w:val="00280A39"/>
    <w:rsid w:val="00287614"/>
    <w:rsid w:val="002A421F"/>
    <w:rsid w:val="00380826"/>
    <w:rsid w:val="00511715"/>
    <w:rsid w:val="005832B8"/>
    <w:rsid w:val="00631C24"/>
    <w:rsid w:val="00695566"/>
    <w:rsid w:val="006E6390"/>
    <w:rsid w:val="00AD3E5D"/>
    <w:rsid w:val="00BD4074"/>
    <w:rsid w:val="00D953B9"/>
    <w:rsid w:val="00E1002A"/>
    <w:rsid w:val="00EB6515"/>
    <w:rsid w:val="00F711A6"/>
    <w:rsid w:val="00F852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C783"/>
  <w15:chartTrackingRefBased/>
  <w15:docId w15:val="{10638088-6D78-4664-831D-83BC04FF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2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2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2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2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2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2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2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2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2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2B8"/>
    <w:rPr>
      <w:rFonts w:eastAsiaTheme="majorEastAsia" w:cstheme="majorBidi"/>
      <w:color w:val="272727" w:themeColor="text1" w:themeTint="D8"/>
    </w:rPr>
  </w:style>
  <w:style w:type="paragraph" w:styleId="Ttulo">
    <w:name w:val="Title"/>
    <w:basedOn w:val="Normal"/>
    <w:next w:val="Normal"/>
    <w:link w:val="TtuloCar"/>
    <w:uiPriority w:val="10"/>
    <w:qFormat/>
    <w:rsid w:val="0058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2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2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2B8"/>
    <w:pPr>
      <w:spacing w:before="160"/>
      <w:jc w:val="center"/>
    </w:pPr>
    <w:rPr>
      <w:i/>
      <w:iCs/>
      <w:color w:val="404040" w:themeColor="text1" w:themeTint="BF"/>
    </w:rPr>
  </w:style>
  <w:style w:type="character" w:customStyle="1" w:styleId="CitaCar">
    <w:name w:val="Cita Car"/>
    <w:basedOn w:val="Fuentedeprrafopredeter"/>
    <w:link w:val="Cita"/>
    <w:uiPriority w:val="29"/>
    <w:rsid w:val="005832B8"/>
    <w:rPr>
      <w:i/>
      <w:iCs/>
      <w:color w:val="404040" w:themeColor="text1" w:themeTint="BF"/>
    </w:rPr>
  </w:style>
  <w:style w:type="paragraph" w:styleId="Prrafodelista">
    <w:name w:val="List Paragraph"/>
    <w:basedOn w:val="Normal"/>
    <w:uiPriority w:val="34"/>
    <w:qFormat/>
    <w:rsid w:val="005832B8"/>
    <w:pPr>
      <w:ind w:left="720"/>
      <w:contextualSpacing/>
    </w:pPr>
  </w:style>
  <w:style w:type="character" w:styleId="nfasisintenso">
    <w:name w:val="Intense Emphasis"/>
    <w:basedOn w:val="Fuentedeprrafopredeter"/>
    <w:uiPriority w:val="21"/>
    <w:qFormat/>
    <w:rsid w:val="005832B8"/>
    <w:rPr>
      <w:i/>
      <w:iCs/>
      <w:color w:val="0F4761" w:themeColor="accent1" w:themeShade="BF"/>
    </w:rPr>
  </w:style>
  <w:style w:type="paragraph" w:styleId="Citadestacada">
    <w:name w:val="Intense Quote"/>
    <w:basedOn w:val="Normal"/>
    <w:next w:val="Normal"/>
    <w:link w:val="CitadestacadaCar"/>
    <w:uiPriority w:val="30"/>
    <w:qFormat/>
    <w:rsid w:val="0058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2B8"/>
    <w:rPr>
      <w:i/>
      <w:iCs/>
      <w:color w:val="0F4761" w:themeColor="accent1" w:themeShade="BF"/>
    </w:rPr>
  </w:style>
  <w:style w:type="character" w:styleId="Referenciaintensa">
    <w:name w:val="Intense Reference"/>
    <w:basedOn w:val="Fuentedeprrafopredeter"/>
    <w:uiPriority w:val="32"/>
    <w:qFormat/>
    <w:rsid w:val="00583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232451">
      <w:bodyDiv w:val="1"/>
      <w:marLeft w:val="0"/>
      <w:marRight w:val="0"/>
      <w:marTop w:val="0"/>
      <w:marBottom w:val="0"/>
      <w:divBdr>
        <w:top w:val="none" w:sz="0" w:space="0" w:color="auto"/>
        <w:left w:val="none" w:sz="0" w:space="0" w:color="auto"/>
        <w:bottom w:val="none" w:sz="0" w:space="0" w:color="auto"/>
        <w:right w:val="none" w:sz="0" w:space="0" w:color="auto"/>
      </w:divBdr>
      <w:divsChild>
        <w:div w:id="189144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409</Words>
  <Characters>2250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Mejia Villamil</dc:creator>
  <cp:keywords/>
  <dc:description/>
  <cp:lastModifiedBy>Melissa Mejia Villamil</cp:lastModifiedBy>
  <cp:revision>10</cp:revision>
  <dcterms:created xsi:type="dcterms:W3CDTF">2026-04-16T03:32:00Z</dcterms:created>
  <dcterms:modified xsi:type="dcterms:W3CDTF">2026-04-16T04:13:00Z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2026-04-16T03:55:11Z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73d26820-debc-4014-9be0-edf8a085a9c1</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