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9F36" w14:textId="77777777" w:rsidR="00474240" w:rsidRDefault="00474240"/>
    <w:p w14:paraId="6214E2E4" w14:textId="77777777" w:rsidR="00474240" w:rsidRDefault="00474240"/>
    <w:p w14:paraId="673430AE" w14:textId="77777777" w:rsidR="0069164B" w:rsidRDefault="0069164B" w:rsidP="00474240">
      <w:pPr>
        <w:rPr>
          <w:b/>
          <w:bCs/>
        </w:rPr>
      </w:pPr>
    </w:p>
    <w:p w14:paraId="208AF939" w14:textId="77777777" w:rsidR="0069164B" w:rsidRDefault="0069164B" w:rsidP="00474240">
      <w:pPr>
        <w:rPr>
          <w:b/>
          <w:bCs/>
        </w:rPr>
      </w:pPr>
    </w:p>
    <w:p w14:paraId="0845147D" w14:textId="77777777" w:rsidR="0069164B" w:rsidRDefault="0069164B" w:rsidP="00474240">
      <w:pPr>
        <w:rPr>
          <w:b/>
          <w:bCs/>
        </w:rPr>
      </w:pPr>
    </w:p>
    <w:p w14:paraId="0BBA6B73" w14:textId="294A360A" w:rsidR="0069164B" w:rsidRPr="0069164B" w:rsidRDefault="0069164B" w:rsidP="0069164B">
      <w:pPr>
        <w:jc w:val="center"/>
        <w:rPr>
          <w:rFonts w:ascii="Times New Roman" w:hAnsi="Times New Roman" w:cs="Times New Roman"/>
          <w:b/>
          <w:bCs/>
          <w:sz w:val="36"/>
          <w:szCs w:val="36"/>
        </w:rPr>
      </w:pPr>
      <w:r w:rsidRPr="0069164B">
        <w:rPr>
          <w:rFonts w:ascii="Times New Roman" w:hAnsi="Times New Roman" w:cs="Times New Roman"/>
          <w:b/>
          <w:bCs/>
          <w:sz w:val="36"/>
          <w:szCs w:val="36"/>
        </w:rPr>
        <w:t xml:space="preserve">ESG &amp; Carbone : Ce que les Données Révèlent </w:t>
      </w:r>
      <w:r w:rsidRPr="0069164B">
        <w:rPr>
          <w:rFonts w:ascii="Times New Roman" w:hAnsi="Times New Roman" w:cs="Times New Roman"/>
          <w:b/>
          <w:bCs/>
          <w:i/>
          <w:iCs/>
          <w:sz w:val="36"/>
          <w:szCs w:val="36"/>
        </w:rPr>
        <w:t>Analyse sectorielle de 30 entreprises mondiales</w:t>
      </w:r>
      <w:r w:rsidR="00040D04">
        <w:rPr>
          <w:rFonts w:ascii="Times New Roman" w:hAnsi="Times New Roman" w:cs="Times New Roman"/>
          <w:b/>
          <w:bCs/>
          <w:i/>
          <w:iCs/>
          <w:sz w:val="36"/>
          <w:szCs w:val="36"/>
        </w:rPr>
        <w:t>.</w:t>
      </w:r>
      <w:r w:rsidRPr="0069164B">
        <w:rPr>
          <w:rFonts w:ascii="Times New Roman" w:hAnsi="Times New Roman" w:cs="Times New Roman"/>
          <w:b/>
          <w:bCs/>
          <w:i/>
          <w:iCs/>
          <w:sz w:val="36"/>
          <w:szCs w:val="36"/>
        </w:rPr>
        <w:t xml:space="preserve"> Énergie, Utilities &amp; Industrie (2010–2024)</w:t>
      </w:r>
    </w:p>
    <w:p w14:paraId="10A8327B" w14:textId="77777777" w:rsidR="0069164B" w:rsidRPr="0069164B" w:rsidRDefault="0069164B" w:rsidP="00474240">
      <w:pPr>
        <w:rPr>
          <w:rFonts w:ascii="Times New Roman" w:hAnsi="Times New Roman" w:cs="Times New Roman"/>
          <w:b/>
          <w:bCs/>
        </w:rPr>
      </w:pPr>
    </w:p>
    <w:p w14:paraId="23171631" w14:textId="77777777" w:rsidR="0069164B" w:rsidRPr="0069164B" w:rsidRDefault="0069164B" w:rsidP="0069164B">
      <w:pPr>
        <w:jc w:val="center"/>
        <w:rPr>
          <w:rFonts w:ascii="Times New Roman" w:hAnsi="Times New Roman" w:cs="Times New Roman"/>
          <w:b/>
          <w:bCs/>
        </w:rPr>
      </w:pPr>
    </w:p>
    <w:p w14:paraId="6D59FAB9" w14:textId="4E290A8D" w:rsidR="0069164B" w:rsidRPr="0069164B" w:rsidRDefault="0069164B" w:rsidP="0069164B">
      <w:pPr>
        <w:jc w:val="center"/>
        <w:rPr>
          <w:rFonts w:ascii="Times New Roman" w:hAnsi="Times New Roman" w:cs="Times New Roman"/>
          <w:b/>
          <w:bCs/>
          <w:sz w:val="32"/>
          <w:szCs w:val="32"/>
        </w:rPr>
      </w:pPr>
      <w:r w:rsidRPr="0069164B">
        <w:rPr>
          <w:rFonts w:ascii="Times New Roman" w:hAnsi="Times New Roman" w:cs="Times New Roman"/>
          <w:b/>
          <w:bCs/>
          <w:sz w:val="32"/>
          <w:szCs w:val="32"/>
        </w:rPr>
        <w:t>BOURRAI Melissa</w:t>
      </w:r>
    </w:p>
    <w:p w14:paraId="2307B7B1" w14:textId="7255398D" w:rsidR="0069164B" w:rsidRPr="0069164B" w:rsidRDefault="0069164B" w:rsidP="0069164B">
      <w:pPr>
        <w:jc w:val="center"/>
        <w:rPr>
          <w:rFonts w:ascii="Times New Roman" w:hAnsi="Times New Roman" w:cs="Times New Roman"/>
          <w:b/>
          <w:bCs/>
        </w:rPr>
      </w:pPr>
      <w:r w:rsidRPr="0069164B">
        <w:rPr>
          <w:rFonts w:ascii="Times New Roman" w:hAnsi="Times New Roman" w:cs="Times New Roman"/>
          <w:b/>
          <w:bCs/>
        </w:rPr>
        <w:t>Juin 2026</w:t>
      </w:r>
    </w:p>
    <w:p w14:paraId="4F0041A8" w14:textId="77777777" w:rsidR="0069164B" w:rsidRDefault="0069164B" w:rsidP="00474240">
      <w:pPr>
        <w:rPr>
          <w:b/>
          <w:bCs/>
        </w:rPr>
      </w:pPr>
    </w:p>
    <w:p w14:paraId="530F93D0" w14:textId="77777777" w:rsidR="0069164B" w:rsidRDefault="0069164B" w:rsidP="00474240">
      <w:pPr>
        <w:rPr>
          <w:b/>
          <w:bCs/>
        </w:rPr>
      </w:pPr>
    </w:p>
    <w:p w14:paraId="672656C0" w14:textId="77777777" w:rsidR="0069164B" w:rsidRDefault="0069164B" w:rsidP="00474240">
      <w:pPr>
        <w:rPr>
          <w:b/>
          <w:bCs/>
        </w:rPr>
      </w:pPr>
    </w:p>
    <w:p w14:paraId="1F9E2B8D" w14:textId="77777777" w:rsidR="0069164B" w:rsidRDefault="0069164B" w:rsidP="00474240">
      <w:pPr>
        <w:rPr>
          <w:b/>
          <w:bCs/>
        </w:rPr>
      </w:pPr>
    </w:p>
    <w:p w14:paraId="2A9EC2C7" w14:textId="77777777" w:rsidR="0069164B" w:rsidRDefault="0069164B" w:rsidP="00474240">
      <w:pPr>
        <w:rPr>
          <w:b/>
          <w:bCs/>
        </w:rPr>
      </w:pPr>
    </w:p>
    <w:p w14:paraId="368AF417" w14:textId="77777777" w:rsidR="0069164B" w:rsidRDefault="0069164B" w:rsidP="00474240">
      <w:pPr>
        <w:rPr>
          <w:b/>
          <w:bCs/>
        </w:rPr>
      </w:pPr>
    </w:p>
    <w:p w14:paraId="4C7D8E43" w14:textId="77777777" w:rsidR="0069164B" w:rsidRDefault="0069164B" w:rsidP="00474240">
      <w:pPr>
        <w:rPr>
          <w:b/>
          <w:bCs/>
        </w:rPr>
      </w:pPr>
    </w:p>
    <w:p w14:paraId="0DD483C9" w14:textId="77777777" w:rsidR="0069164B" w:rsidRDefault="0069164B" w:rsidP="00474240">
      <w:pPr>
        <w:rPr>
          <w:b/>
          <w:bCs/>
        </w:rPr>
      </w:pPr>
    </w:p>
    <w:p w14:paraId="55CD37E1" w14:textId="77777777" w:rsidR="0069164B" w:rsidRDefault="0069164B" w:rsidP="00474240">
      <w:pPr>
        <w:rPr>
          <w:b/>
          <w:bCs/>
        </w:rPr>
      </w:pPr>
    </w:p>
    <w:p w14:paraId="5111D01D" w14:textId="77777777" w:rsidR="0069164B" w:rsidRDefault="0069164B" w:rsidP="00474240">
      <w:pPr>
        <w:rPr>
          <w:b/>
          <w:bCs/>
        </w:rPr>
      </w:pPr>
    </w:p>
    <w:p w14:paraId="7B558E6A" w14:textId="77777777" w:rsidR="0069164B" w:rsidRDefault="0069164B" w:rsidP="00474240">
      <w:pPr>
        <w:rPr>
          <w:b/>
          <w:bCs/>
        </w:rPr>
      </w:pPr>
    </w:p>
    <w:p w14:paraId="2F8557D4" w14:textId="77777777" w:rsidR="0069164B" w:rsidRDefault="0069164B" w:rsidP="00474240">
      <w:pPr>
        <w:rPr>
          <w:b/>
          <w:bCs/>
        </w:rPr>
      </w:pPr>
    </w:p>
    <w:p w14:paraId="43367E91" w14:textId="77777777" w:rsidR="0069164B" w:rsidRDefault="0069164B" w:rsidP="00474240">
      <w:pPr>
        <w:rPr>
          <w:b/>
          <w:bCs/>
        </w:rPr>
      </w:pPr>
    </w:p>
    <w:p w14:paraId="1CEA1AF2" w14:textId="77777777" w:rsidR="0069164B" w:rsidRDefault="0069164B" w:rsidP="00474240">
      <w:pPr>
        <w:rPr>
          <w:b/>
          <w:bCs/>
        </w:rPr>
      </w:pPr>
    </w:p>
    <w:p w14:paraId="30508A56" w14:textId="77777777" w:rsidR="0069164B" w:rsidRDefault="0069164B" w:rsidP="00474240">
      <w:pPr>
        <w:rPr>
          <w:b/>
          <w:bCs/>
        </w:rPr>
      </w:pPr>
    </w:p>
    <w:p w14:paraId="1F626824" w14:textId="77777777" w:rsidR="0069164B" w:rsidRDefault="0069164B" w:rsidP="00474240">
      <w:pPr>
        <w:rPr>
          <w:b/>
          <w:bCs/>
        </w:rPr>
      </w:pPr>
    </w:p>
    <w:p w14:paraId="431BE6A7" w14:textId="77777777" w:rsidR="00123C84" w:rsidRPr="00123C84" w:rsidRDefault="00123C84" w:rsidP="00123C84">
      <w:pPr>
        <w:pStyle w:val="font-claude-response-body"/>
      </w:pPr>
      <w:r w:rsidRPr="00123C84">
        <w:lastRenderedPageBreak/>
        <w:t xml:space="preserve">Dans un monde où la transition énergétique est devenue une priorité stratégique, les entreprises des secteurs industriels et énergétiques sont sous pression croissante pour améliorer leurs performances environnementales, sociales et de gouvernance. Ce </w:t>
      </w:r>
      <w:proofErr w:type="spellStart"/>
      <w:r w:rsidRPr="00123C84">
        <w:t>dashboard</w:t>
      </w:r>
      <w:proofErr w:type="spellEnd"/>
      <w:r w:rsidRPr="00123C84">
        <w:t xml:space="preserve"> ESG couvre 14 années de données (2010–2024) et permet de répondre à une question centrale :</w:t>
      </w:r>
    </w:p>
    <w:p w14:paraId="206C6585" w14:textId="77777777" w:rsidR="00123C84" w:rsidRPr="00123C84" w:rsidRDefault="00123C84" w:rsidP="00123C84">
      <w:pPr>
        <w:pStyle w:val="font-claude-response-body"/>
      </w:pPr>
      <w:r w:rsidRPr="00123C84">
        <w:t>Les entreprises progressent-elles réellement vers une performance ESG durable, tout en réduisant leur empreinte carbone ?</w:t>
      </w:r>
    </w:p>
    <w:p w14:paraId="06167951" w14:textId="77777777" w:rsidR="0069164B" w:rsidRDefault="0069164B" w:rsidP="00474240">
      <w:pPr>
        <w:rPr>
          <w:b/>
          <w:bCs/>
        </w:rPr>
      </w:pPr>
    </w:p>
    <w:p w14:paraId="4B90F075" w14:textId="0CCAB779" w:rsidR="0069164B" w:rsidRPr="00040D04" w:rsidRDefault="00123C84" w:rsidP="00123C84">
      <w:pPr>
        <w:pStyle w:val="font-claude-response-body"/>
        <w:numPr>
          <w:ilvl w:val="0"/>
          <w:numId w:val="9"/>
        </w:numPr>
      </w:pPr>
      <w:r w:rsidRPr="00040D04">
        <w:t>Un signal encourageant : la tendance globale est positive</w:t>
      </w:r>
    </w:p>
    <w:p w14:paraId="06CEF5BF" w14:textId="77777777" w:rsidR="00123C84" w:rsidRPr="00040D04" w:rsidRDefault="00123C84" w:rsidP="00123C84">
      <w:pPr>
        <w:pStyle w:val="font-claude-response-body"/>
      </w:pPr>
      <w:r w:rsidRPr="00040D04">
        <w:t>Les KPIs en en-tête posent d'emblée le cadre.</w:t>
      </w:r>
    </w:p>
    <w:p w14:paraId="4CB64D45" w14:textId="2B957800" w:rsidR="00123C84" w:rsidRPr="00040D04" w:rsidRDefault="00123C84" w:rsidP="00123C84">
      <w:pPr>
        <w:pStyle w:val="font-claude-response-body"/>
      </w:pPr>
      <w:r w:rsidRPr="00040D04">
        <w:t xml:space="preserve">Le score ESG moyen s'établit à </w:t>
      </w:r>
      <w:r w:rsidRPr="00040D04">
        <w:rPr>
          <w:rStyle w:val="lev"/>
          <w:b w:val="0"/>
          <w:bCs w:val="0"/>
        </w:rPr>
        <w:t>56,82</w:t>
      </w:r>
      <w:r w:rsidRPr="00040D04">
        <w:rPr>
          <w:rStyle w:val="lev"/>
          <w:b w:val="0"/>
          <w:bCs w:val="0"/>
        </w:rPr>
        <w:t>%</w:t>
      </w:r>
      <w:r w:rsidR="00040D04">
        <w:t xml:space="preserve">, un </w:t>
      </w:r>
      <w:r w:rsidRPr="00040D04">
        <w:t xml:space="preserve">niveau intermédiaire qui indique que la majorité des entreprises sont en phase de progression, mais </w:t>
      </w:r>
      <w:r w:rsidRPr="00040D04">
        <w:rPr>
          <w:rStyle w:val="lev"/>
          <w:b w:val="0"/>
          <w:bCs w:val="0"/>
        </w:rPr>
        <w:t>loin d'atteindre l'excellence</w:t>
      </w:r>
      <w:r w:rsidRPr="00040D04">
        <w:t>.</w:t>
      </w:r>
    </w:p>
    <w:p w14:paraId="08BF30B8" w14:textId="77777777" w:rsidR="00123C84" w:rsidRPr="00040D04" w:rsidRDefault="00123C84" w:rsidP="00123C84">
      <w:pPr>
        <w:pStyle w:val="font-claude-response-body"/>
      </w:pPr>
      <w:r w:rsidRPr="00040D04">
        <w:t xml:space="preserve">La donnée la plus frappante est l'évolution de l'intensité carbone sur la période : </w:t>
      </w:r>
      <w:r w:rsidRPr="00040D04">
        <w:rPr>
          <w:rStyle w:val="lev"/>
          <w:b w:val="0"/>
          <w:bCs w:val="0"/>
        </w:rPr>
        <w:t xml:space="preserve">–53,65 </w:t>
      </w:r>
      <w:proofErr w:type="spellStart"/>
      <w:r w:rsidRPr="00040D04">
        <w:rPr>
          <w:rStyle w:val="lev"/>
          <w:b w:val="0"/>
          <w:bCs w:val="0"/>
        </w:rPr>
        <w:t>tCO</w:t>
      </w:r>
      <w:proofErr w:type="spellEnd"/>
      <w:r w:rsidRPr="00040D04">
        <w:rPr>
          <w:rStyle w:val="lev"/>
          <w:b w:val="0"/>
          <w:bCs w:val="0"/>
        </w:rPr>
        <w:t>₂/M$</w:t>
      </w:r>
      <w:r w:rsidRPr="00040D04">
        <w:t xml:space="preserve">. Cela signifie que les entreprises produisent aujourd'hui </w:t>
      </w:r>
      <w:r w:rsidRPr="00040D04">
        <w:rPr>
          <w:rStyle w:val="lev"/>
          <w:b w:val="0"/>
          <w:bCs w:val="0"/>
        </w:rPr>
        <w:t>deux fois moins d'émissions par dollar de revenu généré</w:t>
      </w:r>
      <w:r w:rsidRPr="00040D04">
        <w:t xml:space="preserve"> qu'en 2010. C'est une amélioration structurelle majeure.</w:t>
      </w:r>
    </w:p>
    <w:p w14:paraId="29BCB32D" w14:textId="04E59942" w:rsidR="00123C84" w:rsidRPr="00040D04" w:rsidRDefault="00123C84" w:rsidP="00123C84">
      <w:pPr>
        <w:pStyle w:val="font-claude-response-body"/>
      </w:pPr>
      <w:r w:rsidRPr="00040D04">
        <w:t xml:space="preserve">En parallèle, le score ESG a progressé de </w:t>
      </w:r>
      <w:r w:rsidRPr="00040D04">
        <w:rPr>
          <w:rStyle w:val="lev"/>
          <w:b w:val="0"/>
          <w:bCs w:val="0"/>
        </w:rPr>
        <w:t>+37,80 points</w:t>
      </w:r>
      <w:r w:rsidRPr="00040D04">
        <w:t xml:space="preserve"> sur la même période</w:t>
      </w:r>
      <w:r w:rsidRPr="00040D04">
        <w:t xml:space="preserve">, </w:t>
      </w:r>
      <w:r w:rsidRPr="00040D04">
        <w:t>confirmant que l'effort ESG n'est pas cosmétique, mais ancré dans une tendance longue.</w:t>
      </w:r>
    </w:p>
    <w:p w14:paraId="47327EE4" w14:textId="2E9A092F" w:rsidR="00123C84" w:rsidRPr="00040D04" w:rsidRDefault="00123C84" w:rsidP="00123C84">
      <w:pPr>
        <w:pStyle w:val="font-claude-response-body"/>
      </w:pPr>
      <w:r w:rsidRPr="00040D04">
        <w:t>La direction est bonne. Les entreprises émettent moins et scorent mieux. Mais le niveau absolu (56,82) indique qu'il reste encore beaucoup de chemin à parcourir.</w:t>
      </w:r>
    </w:p>
    <w:p w14:paraId="00354899" w14:textId="7D99241A" w:rsidR="00123C84" w:rsidRPr="00040D04" w:rsidRDefault="00040D04" w:rsidP="00123C84">
      <w:pPr>
        <w:pStyle w:val="Paragraphedeliste"/>
        <w:numPr>
          <w:ilvl w:val="0"/>
          <w:numId w:val="9"/>
        </w:numPr>
        <w:rPr>
          <w:rFonts w:ascii="Times New Roman" w:hAnsi="Times New Roman" w:cs="Times New Roman"/>
        </w:rPr>
      </w:pPr>
      <w:r w:rsidRPr="00040D04">
        <w:rPr>
          <w:rFonts w:ascii="Times New Roman" w:hAnsi="Times New Roman" w:cs="Times New Roman"/>
        </w:rPr>
        <w:t>Le graphique croisé révèle une transformation structurelle</w:t>
      </w:r>
    </w:p>
    <w:p w14:paraId="2FD5BCCF" w14:textId="77777777" w:rsidR="00040D04" w:rsidRPr="00040D04" w:rsidRDefault="00040D04" w:rsidP="00040D04">
      <w:pPr>
        <w:rPr>
          <w:rFonts w:ascii="Times New Roman" w:hAnsi="Times New Roman" w:cs="Times New Roman"/>
        </w:rPr>
      </w:pPr>
      <w:r w:rsidRPr="00040D04">
        <w:rPr>
          <w:rFonts w:ascii="Times New Roman" w:hAnsi="Times New Roman" w:cs="Times New Roman"/>
        </w:rPr>
        <w:t xml:space="preserve">Le graphique "Intensité carbone VS Score ESG" est le cœur analytique du </w:t>
      </w:r>
      <w:proofErr w:type="spellStart"/>
      <w:r w:rsidRPr="00040D04">
        <w:rPr>
          <w:rFonts w:ascii="Times New Roman" w:hAnsi="Times New Roman" w:cs="Times New Roman"/>
        </w:rPr>
        <w:t>dashboard</w:t>
      </w:r>
      <w:proofErr w:type="spellEnd"/>
      <w:r w:rsidRPr="00040D04">
        <w:rPr>
          <w:rFonts w:ascii="Times New Roman" w:hAnsi="Times New Roman" w:cs="Times New Roman"/>
        </w:rPr>
        <w:t>. Il montre deux courbes qui évoluent en sens inverse sur 2010–2024 :</w:t>
      </w:r>
    </w:p>
    <w:p w14:paraId="35B9214C" w14:textId="7196FB2D" w:rsidR="00040D04" w:rsidRPr="00040D04" w:rsidRDefault="00040D04" w:rsidP="00040D04">
      <w:pPr>
        <w:numPr>
          <w:ilvl w:val="0"/>
          <w:numId w:val="10"/>
        </w:numPr>
        <w:rPr>
          <w:rFonts w:ascii="Times New Roman" w:hAnsi="Times New Roman" w:cs="Times New Roman"/>
        </w:rPr>
      </w:pPr>
      <w:r w:rsidRPr="00040D04">
        <w:rPr>
          <w:rFonts w:ascii="Times New Roman" w:hAnsi="Times New Roman" w:cs="Times New Roman"/>
        </w:rPr>
        <w:t xml:space="preserve">L'intensité carbone chute progressivement, passant de </w:t>
      </w:r>
      <w:r w:rsidR="00087A80">
        <w:rPr>
          <w:rFonts w:ascii="Times New Roman" w:hAnsi="Times New Roman" w:cs="Times New Roman"/>
        </w:rPr>
        <w:t>1</w:t>
      </w:r>
      <w:r w:rsidRPr="00040D04">
        <w:rPr>
          <w:rFonts w:ascii="Times New Roman" w:hAnsi="Times New Roman" w:cs="Times New Roman"/>
        </w:rPr>
        <w:t>,</w:t>
      </w:r>
      <w:r w:rsidR="00087A80">
        <w:rPr>
          <w:rFonts w:ascii="Times New Roman" w:hAnsi="Times New Roman" w:cs="Times New Roman"/>
        </w:rPr>
        <w:t>88</w:t>
      </w:r>
      <w:r w:rsidRPr="00040D04">
        <w:rPr>
          <w:rFonts w:ascii="Times New Roman" w:hAnsi="Times New Roman" w:cs="Times New Roman"/>
        </w:rPr>
        <w:t xml:space="preserve"> à </w:t>
      </w:r>
      <w:r w:rsidR="00087A80">
        <w:rPr>
          <w:rFonts w:ascii="Times New Roman" w:hAnsi="Times New Roman" w:cs="Times New Roman"/>
        </w:rPr>
        <w:t>0,87</w:t>
      </w:r>
      <w:r w:rsidRPr="00040D04">
        <w:rPr>
          <w:rFonts w:ascii="Times New Roman" w:hAnsi="Times New Roman" w:cs="Times New Roman"/>
        </w:rPr>
        <w:t xml:space="preserve"> </w:t>
      </w:r>
      <w:proofErr w:type="spellStart"/>
      <w:r w:rsidRPr="00040D04">
        <w:rPr>
          <w:rFonts w:ascii="Times New Roman" w:hAnsi="Times New Roman" w:cs="Times New Roman"/>
        </w:rPr>
        <w:t>tCO</w:t>
      </w:r>
      <w:proofErr w:type="spellEnd"/>
      <w:r w:rsidRPr="00040D04">
        <w:rPr>
          <w:rFonts w:ascii="Times New Roman" w:hAnsi="Times New Roman" w:cs="Times New Roman"/>
        </w:rPr>
        <w:t>₂/M$</w:t>
      </w:r>
    </w:p>
    <w:p w14:paraId="1A3F411F" w14:textId="38CCD12D" w:rsidR="00040D04" w:rsidRPr="00040D04" w:rsidRDefault="00040D04" w:rsidP="00040D04">
      <w:pPr>
        <w:numPr>
          <w:ilvl w:val="0"/>
          <w:numId w:val="10"/>
        </w:numPr>
        <w:rPr>
          <w:rFonts w:ascii="Times New Roman" w:hAnsi="Times New Roman" w:cs="Times New Roman"/>
        </w:rPr>
      </w:pPr>
      <w:r w:rsidRPr="00040D04">
        <w:rPr>
          <w:rFonts w:ascii="Times New Roman" w:hAnsi="Times New Roman" w:cs="Times New Roman"/>
        </w:rPr>
        <w:t xml:space="preserve">Le score ESG monte régulièrement, </w:t>
      </w:r>
      <w:r w:rsidR="00087A80">
        <w:rPr>
          <w:rFonts w:ascii="Times New Roman" w:hAnsi="Times New Roman" w:cs="Times New Roman"/>
        </w:rPr>
        <w:t>atteint</w:t>
      </w:r>
      <w:r w:rsidRPr="00040D04">
        <w:rPr>
          <w:rFonts w:ascii="Times New Roman" w:hAnsi="Times New Roman" w:cs="Times New Roman"/>
        </w:rPr>
        <w:t xml:space="preserve"> les 6</w:t>
      </w:r>
      <w:r w:rsidR="00087A80">
        <w:rPr>
          <w:rFonts w:ascii="Times New Roman" w:hAnsi="Times New Roman" w:cs="Times New Roman"/>
        </w:rPr>
        <w:t>5%</w:t>
      </w:r>
      <w:r w:rsidRPr="00040D04">
        <w:rPr>
          <w:rFonts w:ascii="Times New Roman" w:hAnsi="Times New Roman" w:cs="Times New Roman"/>
        </w:rPr>
        <w:t xml:space="preserve"> vers 2024</w:t>
      </w:r>
    </w:p>
    <w:p w14:paraId="07B1F3F1" w14:textId="1DA4DD80" w:rsidR="00040D04" w:rsidRPr="00040D04" w:rsidRDefault="00040D04" w:rsidP="00040D04">
      <w:pPr>
        <w:rPr>
          <w:rFonts w:ascii="Times New Roman" w:hAnsi="Times New Roman" w:cs="Times New Roman"/>
        </w:rPr>
      </w:pPr>
      <w:r w:rsidRPr="00040D04">
        <w:rPr>
          <w:rFonts w:ascii="Times New Roman" w:hAnsi="Times New Roman" w:cs="Times New Roman"/>
        </w:rPr>
        <w:t>Ces deux courbes qui se croisent racontent une histoire claire : la décarbonation et la maturité ESG avancent ensemble. Ce n'est pas un hasard</w:t>
      </w:r>
      <w:r w:rsidR="00087A80">
        <w:rPr>
          <w:rFonts w:ascii="Times New Roman" w:hAnsi="Times New Roman" w:cs="Times New Roman"/>
        </w:rPr>
        <w:t xml:space="preserve">, </w:t>
      </w:r>
      <w:r w:rsidRPr="00040D04">
        <w:rPr>
          <w:rFonts w:ascii="Times New Roman" w:hAnsi="Times New Roman" w:cs="Times New Roman"/>
        </w:rPr>
        <w:t>les entreprises qui investissent dans leur gouvernance ESG réduisent effectivement leurs émissions carbones.</w:t>
      </w:r>
    </w:p>
    <w:p w14:paraId="50E8286F" w14:textId="37B10450" w:rsidR="00040D04" w:rsidRPr="00040D04" w:rsidRDefault="00040D04" w:rsidP="00040D04">
      <w:pPr>
        <w:rPr>
          <w:rFonts w:ascii="Times New Roman" w:hAnsi="Times New Roman" w:cs="Times New Roman"/>
        </w:rPr>
      </w:pPr>
      <w:r w:rsidRPr="00040D04">
        <w:rPr>
          <w:rFonts w:ascii="Times New Roman" w:hAnsi="Times New Roman" w:cs="Times New Roman"/>
        </w:rPr>
        <w:t>Il existe une corrélation négative forte entre intensité carbone et score ESG. Améliorer l'ESG, c'est aussi décarboner.</w:t>
      </w:r>
    </w:p>
    <w:p w14:paraId="15C9AB2A" w14:textId="172E01B0" w:rsidR="00123C84" w:rsidRPr="00040D04" w:rsidRDefault="00040D04" w:rsidP="00040D04">
      <w:pPr>
        <w:pStyle w:val="Paragraphedeliste"/>
        <w:numPr>
          <w:ilvl w:val="0"/>
          <w:numId w:val="9"/>
        </w:numPr>
        <w:rPr>
          <w:rFonts w:ascii="Times New Roman" w:hAnsi="Times New Roman" w:cs="Times New Roman"/>
        </w:rPr>
      </w:pPr>
      <w:r w:rsidRPr="00040D04">
        <w:rPr>
          <w:rFonts w:ascii="Times New Roman" w:hAnsi="Times New Roman" w:cs="Times New Roman"/>
        </w:rPr>
        <w:t>Les secteurs ne sont pas égaux face à l'ESG</w:t>
      </w:r>
    </w:p>
    <w:p w14:paraId="6397E46E" w14:textId="77777777" w:rsidR="00476C72" w:rsidRPr="00401C46" w:rsidRDefault="00476C72" w:rsidP="00476C72">
      <w:pPr>
        <w:rPr>
          <w:rFonts w:ascii="Times New Roman" w:hAnsi="Times New Roman" w:cs="Times New Roman"/>
        </w:rPr>
      </w:pPr>
      <w:r w:rsidRPr="00476C72">
        <w:rPr>
          <w:rFonts w:ascii="Times New Roman" w:hAnsi="Times New Roman" w:cs="Times New Roman"/>
        </w:rPr>
        <w:t xml:space="preserve">Le croisement du </w:t>
      </w:r>
      <w:r w:rsidRPr="00401C46">
        <w:rPr>
          <w:rFonts w:ascii="Times New Roman" w:hAnsi="Times New Roman" w:cs="Times New Roman"/>
        </w:rPr>
        <w:t>Score ESG par secteur et de l 'Intensité carbone par secteur révèle un paradoxe frappant qui illustre toute la complexité de la mesure ESG.</w:t>
      </w:r>
    </w:p>
    <w:p w14:paraId="55233484" w14:textId="77777777" w:rsidR="00476C72" w:rsidRPr="00476C72" w:rsidRDefault="00476C72" w:rsidP="00476C72">
      <w:pPr>
        <w:rPr>
          <w:rFonts w:ascii="Times New Roman" w:hAnsi="Times New Roman" w:cs="Times New Roman"/>
        </w:rPr>
      </w:pPr>
      <w:r w:rsidRPr="00401C46">
        <w:rPr>
          <w:rFonts w:ascii="Times New Roman" w:hAnsi="Times New Roman" w:cs="Times New Roman"/>
        </w:rPr>
        <w:t>Sur le plan du score ESG,</w:t>
      </w:r>
      <w:r w:rsidRPr="00476C72">
        <w:rPr>
          <w:rFonts w:ascii="Times New Roman" w:hAnsi="Times New Roman" w:cs="Times New Roman"/>
        </w:rPr>
        <w:t xml:space="preserve"> la hiérarchie est claire :</w:t>
      </w:r>
    </w:p>
    <w:p w14:paraId="730AD359" w14:textId="77777777" w:rsidR="00476C72" w:rsidRDefault="00476C72" w:rsidP="00476C72">
      <w:pPr>
        <w:rPr>
          <w:rFonts w:ascii="Times New Roman" w:hAnsi="Times New Roman" w:cs="Times New Roman"/>
        </w:rPr>
      </w:pPr>
      <w:r w:rsidRPr="00476C72">
        <w:rPr>
          <w:rFonts w:ascii="Times New Roman" w:hAnsi="Times New Roman" w:cs="Times New Roman"/>
        </w:rPr>
        <w:lastRenderedPageBreak/>
        <w:t>Les Utilities dominent avec 65</w:t>
      </w:r>
      <w:r>
        <w:rPr>
          <w:rFonts w:ascii="Times New Roman" w:hAnsi="Times New Roman" w:cs="Times New Roman"/>
        </w:rPr>
        <w:t>%, l</w:t>
      </w:r>
      <w:r w:rsidRPr="00476C72">
        <w:rPr>
          <w:rFonts w:ascii="Times New Roman" w:hAnsi="Times New Roman" w:cs="Times New Roman"/>
        </w:rPr>
        <w:t>e secteur Industriel</w:t>
      </w:r>
      <w:r w:rsidRPr="00476C72">
        <w:rPr>
          <w:rFonts w:ascii="Times New Roman" w:hAnsi="Times New Roman" w:cs="Times New Roman"/>
          <w:b/>
          <w:bCs/>
        </w:rPr>
        <w:t xml:space="preserve"> </w:t>
      </w:r>
      <w:r w:rsidRPr="00476C72">
        <w:rPr>
          <w:rFonts w:ascii="Times New Roman" w:hAnsi="Times New Roman" w:cs="Times New Roman"/>
        </w:rPr>
        <w:t xml:space="preserve">se situe en position intermédiaire à </w:t>
      </w:r>
      <w:r>
        <w:rPr>
          <w:rFonts w:ascii="Times New Roman" w:hAnsi="Times New Roman" w:cs="Times New Roman"/>
        </w:rPr>
        <w:t>58% et l</w:t>
      </w:r>
      <w:r w:rsidRPr="00476C72">
        <w:rPr>
          <w:rFonts w:ascii="Times New Roman" w:hAnsi="Times New Roman" w:cs="Times New Roman"/>
        </w:rPr>
        <w:t>e secteur Énergie ferme la marche avec 4</w:t>
      </w:r>
      <w:r>
        <w:rPr>
          <w:rFonts w:ascii="Times New Roman" w:hAnsi="Times New Roman" w:cs="Times New Roman"/>
        </w:rPr>
        <w:t xml:space="preserve">6%, </w:t>
      </w:r>
      <w:r w:rsidRPr="00476C72">
        <w:rPr>
          <w:rFonts w:ascii="Times New Roman" w:hAnsi="Times New Roman" w:cs="Times New Roman"/>
        </w:rPr>
        <w:t>soit un écart de 20 points avec les Utilities</w:t>
      </w:r>
      <w:r>
        <w:rPr>
          <w:rFonts w:ascii="Times New Roman" w:hAnsi="Times New Roman" w:cs="Times New Roman"/>
        </w:rPr>
        <w:t>.</w:t>
      </w:r>
    </w:p>
    <w:p w14:paraId="53D337E7" w14:textId="4F1EFE33" w:rsidR="00476C72" w:rsidRPr="00476C72" w:rsidRDefault="00476C72" w:rsidP="00476C72">
      <w:pPr>
        <w:rPr>
          <w:rFonts w:ascii="Times New Roman" w:hAnsi="Times New Roman" w:cs="Times New Roman"/>
        </w:rPr>
      </w:pPr>
      <w:r w:rsidRPr="00476C72">
        <w:rPr>
          <w:rFonts w:ascii="Times New Roman" w:hAnsi="Times New Roman" w:cs="Times New Roman"/>
        </w:rPr>
        <w:t>Mais quand on examine l'intensité carbone, la hiérarchie s'inverse complètement :</w:t>
      </w:r>
    </w:p>
    <w:p w14:paraId="50976D3E" w14:textId="68377B22" w:rsidR="00476C72" w:rsidRPr="00476C72" w:rsidRDefault="00476C72" w:rsidP="00476C72">
      <w:pPr>
        <w:rPr>
          <w:rFonts w:ascii="Times New Roman" w:hAnsi="Times New Roman" w:cs="Times New Roman"/>
        </w:rPr>
      </w:pPr>
      <w:r w:rsidRPr="00476C72">
        <w:rPr>
          <w:rFonts w:ascii="Times New Roman" w:hAnsi="Times New Roman" w:cs="Times New Roman"/>
        </w:rPr>
        <w:t xml:space="preserve">Les Utilities affichent la plus forte intensité carbone 2,7 </w:t>
      </w:r>
      <w:proofErr w:type="spellStart"/>
      <w:r w:rsidRPr="00476C72">
        <w:rPr>
          <w:rFonts w:ascii="Times New Roman" w:hAnsi="Times New Roman" w:cs="Times New Roman"/>
        </w:rPr>
        <w:t>tCO</w:t>
      </w:r>
      <w:proofErr w:type="spellEnd"/>
      <w:r w:rsidRPr="00476C72">
        <w:rPr>
          <w:rFonts w:ascii="Times New Roman" w:hAnsi="Times New Roman" w:cs="Times New Roman"/>
        </w:rPr>
        <w:t>₂/M$</w:t>
      </w:r>
      <w:r>
        <w:rPr>
          <w:rFonts w:ascii="Times New Roman" w:hAnsi="Times New Roman" w:cs="Times New Roman"/>
        </w:rPr>
        <w:t>, l</w:t>
      </w:r>
      <w:r w:rsidRPr="00476C72">
        <w:rPr>
          <w:rFonts w:ascii="Times New Roman" w:hAnsi="Times New Roman" w:cs="Times New Roman"/>
        </w:rPr>
        <w:t xml:space="preserve">es </w:t>
      </w:r>
      <w:r w:rsidRPr="00476C72">
        <w:rPr>
          <w:rFonts w:ascii="Times New Roman" w:hAnsi="Times New Roman" w:cs="Times New Roman"/>
        </w:rPr>
        <w:t>Industriels</w:t>
      </w:r>
      <w:r w:rsidRPr="00476C72">
        <w:rPr>
          <w:rFonts w:ascii="Times New Roman" w:hAnsi="Times New Roman" w:cs="Times New Roman"/>
        </w:rPr>
        <w:t xml:space="preserve"> et </w:t>
      </w:r>
      <w:r>
        <w:rPr>
          <w:rFonts w:ascii="Times New Roman" w:hAnsi="Times New Roman" w:cs="Times New Roman"/>
        </w:rPr>
        <w:t>l’</w:t>
      </w:r>
      <w:r w:rsidRPr="00476C72">
        <w:rPr>
          <w:rFonts w:ascii="Times New Roman" w:hAnsi="Times New Roman" w:cs="Times New Roman"/>
        </w:rPr>
        <w:t>Énergie</w:t>
      </w:r>
      <w:r w:rsidRPr="00476C72">
        <w:rPr>
          <w:rFonts w:ascii="Times New Roman" w:hAnsi="Times New Roman" w:cs="Times New Roman"/>
        </w:rPr>
        <w:t xml:space="preserve"> </w:t>
      </w:r>
      <w:r w:rsidRPr="00476C72">
        <w:rPr>
          <w:rFonts w:ascii="Times New Roman" w:hAnsi="Times New Roman" w:cs="Times New Roman"/>
        </w:rPr>
        <w:t>restent bie</w:t>
      </w:r>
      <w:r w:rsidR="0057039F">
        <w:rPr>
          <w:rFonts w:ascii="Times New Roman" w:hAnsi="Times New Roman" w:cs="Times New Roman"/>
        </w:rPr>
        <w:t>n à 0,6</w:t>
      </w:r>
      <w:r w:rsidR="00727EBA" w:rsidRPr="00727EBA">
        <w:rPr>
          <w:rFonts w:ascii="Times New Roman" w:hAnsi="Times New Roman" w:cs="Times New Roman"/>
        </w:rPr>
        <w:t xml:space="preserve"> </w:t>
      </w:r>
      <w:proofErr w:type="spellStart"/>
      <w:r w:rsidR="00727EBA" w:rsidRPr="00476C72">
        <w:rPr>
          <w:rFonts w:ascii="Times New Roman" w:hAnsi="Times New Roman" w:cs="Times New Roman"/>
        </w:rPr>
        <w:t>tCO</w:t>
      </w:r>
      <w:proofErr w:type="spellEnd"/>
      <w:r w:rsidR="00727EBA" w:rsidRPr="00476C72">
        <w:rPr>
          <w:rFonts w:ascii="Times New Roman" w:hAnsi="Times New Roman" w:cs="Times New Roman"/>
        </w:rPr>
        <w:t>₂/M$</w:t>
      </w:r>
      <w:r w:rsidR="0057039F">
        <w:rPr>
          <w:rFonts w:ascii="Times New Roman" w:hAnsi="Times New Roman" w:cs="Times New Roman"/>
        </w:rPr>
        <w:t xml:space="preserve"> et 0,5</w:t>
      </w:r>
      <w:r w:rsidR="00727EBA">
        <w:rPr>
          <w:rFonts w:ascii="Times New Roman" w:hAnsi="Times New Roman" w:cs="Times New Roman"/>
        </w:rPr>
        <w:t xml:space="preserve"> </w:t>
      </w:r>
      <w:proofErr w:type="spellStart"/>
      <w:r w:rsidR="00727EBA" w:rsidRPr="00476C72">
        <w:rPr>
          <w:rFonts w:ascii="Times New Roman" w:hAnsi="Times New Roman" w:cs="Times New Roman"/>
        </w:rPr>
        <w:t>tCO</w:t>
      </w:r>
      <w:proofErr w:type="spellEnd"/>
      <w:r w:rsidR="00727EBA" w:rsidRPr="00476C72">
        <w:rPr>
          <w:rFonts w:ascii="Times New Roman" w:hAnsi="Times New Roman" w:cs="Times New Roman"/>
        </w:rPr>
        <w:t>₂/M$</w:t>
      </w:r>
    </w:p>
    <w:p w14:paraId="5C46C66D" w14:textId="77777777" w:rsidR="00476C72" w:rsidRPr="00476C72" w:rsidRDefault="00476C72" w:rsidP="00476C72">
      <w:pPr>
        <w:rPr>
          <w:rFonts w:ascii="Times New Roman" w:hAnsi="Times New Roman" w:cs="Times New Roman"/>
        </w:rPr>
      </w:pPr>
      <w:r w:rsidRPr="00476C72">
        <w:rPr>
          <w:rFonts w:ascii="Times New Roman" w:hAnsi="Times New Roman" w:cs="Times New Roman"/>
        </w:rPr>
        <w:t>Comment expliquer ce paradoxe ?</w:t>
      </w:r>
    </w:p>
    <w:p w14:paraId="22373AD0" w14:textId="73004B66" w:rsidR="00476C72" w:rsidRPr="00476C72" w:rsidRDefault="00476C72" w:rsidP="00476C72">
      <w:pPr>
        <w:rPr>
          <w:rFonts w:ascii="Times New Roman" w:hAnsi="Times New Roman" w:cs="Times New Roman"/>
        </w:rPr>
      </w:pPr>
      <w:r w:rsidRPr="00476C72">
        <w:rPr>
          <w:rFonts w:ascii="Times New Roman" w:hAnsi="Times New Roman" w:cs="Times New Roman"/>
        </w:rPr>
        <w:t>Le score ESG ne se résume pas à l'empreinte carbone. Il intègre trois dimensions : l'Environnement, le Social et la Gouvernance. Les Utilities, bien qu'émettrices, sont reconnues pour leur transparence, leurs engagements sociaux et leur gouvernance solide</w:t>
      </w:r>
      <w:r w:rsidR="00401C46">
        <w:rPr>
          <w:rFonts w:ascii="Times New Roman" w:hAnsi="Times New Roman" w:cs="Times New Roman"/>
        </w:rPr>
        <w:t xml:space="preserve">, </w:t>
      </w:r>
      <w:r w:rsidRPr="00476C72">
        <w:rPr>
          <w:rFonts w:ascii="Times New Roman" w:hAnsi="Times New Roman" w:cs="Times New Roman"/>
        </w:rPr>
        <w:t>ce qui booste leur score global. Le secteur Energy, à l'inverse, affiche une empreinte carbone directe relativement faible par dollar de revenu, mais souffre d'une gouvernance moins développée et d'un engagement social limité, ce qui pénalise fortement son score ESG.</w:t>
      </w:r>
    </w:p>
    <w:p w14:paraId="3BD7F0AA" w14:textId="04D8BFA6" w:rsidR="00476C72" w:rsidRPr="00476C72" w:rsidRDefault="00476C72" w:rsidP="00476C72">
      <w:pPr>
        <w:rPr>
          <w:rFonts w:ascii="Times New Roman" w:hAnsi="Times New Roman" w:cs="Times New Roman"/>
        </w:rPr>
      </w:pPr>
      <w:r w:rsidRPr="00476C72">
        <w:rPr>
          <w:rFonts w:ascii="Times New Roman" w:hAnsi="Times New Roman" w:cs="Times New Roman"/>
        </w:rPr>
        <w:t>Un bon score ESG n'est pas synonyme de faible intensité carbone</w:t>
      </w:r>
      <w:r w:rsidR="00401C46">
        <w:rPr>
          <w:rFonts w:ascii="Times New Roman" w:hAnsi="Times New Roman" w:cs="Times New Roman"/>
        </w:rPr>
        <w:t xml:space="preserve">, </w:t>
      </w:r>
      <w:r w:rsidRPr="00476C72">
        <w:rPr>
          <w:rFonts w:ascii="Times New Roman" w:hAnsi="Times New Roman" w:cs="Times New Roman"/>
        </w:rPr>
        <w:t>ce sont deux dimensions complémentaires mais distinctes. Pour une analyse complète, il est indispensable de les lire ensemble, et non séparément.</w:t>
      </w:r>
    </w:p>
    <w:p w14:paraId="554B5320" w14:textId="3EA196CA" w:rsidR="00123C84" w:rsidRPr="00040D04" w:rsidRDefault="00040D04" w:rsidP="00040D04">
      <w:pPr>
        <w:pStyle w:val="Paragraphedeliste"/>
        <w:numPr>
          <w:ilvl w:val="0"/>
          <w:numId w:val="9"/>
        </w:numPr>
        <w:rPr>
          <w:rFonts w:ascii="Times New Roman" w:hAnsi="Times New Roman" w:cs="Times New Roman"/>
        </w:rPr>
      </w:pPr>
      <w:r w:rsidRPr="00040D04">
        <w:rPr>
          <w:rFonts w:ascii="Times New Roman" w:hAnsi="Times New Roman" w:cs="Times New Roman"/>
        </w:rPr>
        <w:t>La maturité ESG reste un défi pour la majorité</w:t>
      </w:r>
    </w:p>
    <w:p w14:paraId="7D7C43B3" w14:textId="77777777" w:rsidR="00EA1FC4" w:rsidRPr="00EA1FC4" w:rsidRDefault="00EA1FC4" w:rsidP="00EA1FC4">
      <w:pPr>
        <w:rPr>
          <w:rFonts w:ascii="Times New Roman" w:hAnsi="Times New Roman" w:cs="Times New Roman"/>
        </w:rPr>
      </w:pPr>
      <w:r w:rsidRPr="00EA1FC4">
        <w:rPr>
          <w:rFonts w:ascii="Times New Roman" w:hAnsi="Times New Roman" w:cs="Times New Roman"/>
        </w:rPr>
        <w:t>Le graphique "Nombre de compagnies par maturité ESG" filtrée sur 2024 est particulièrement révélateur :</w:t>
      </w:r>
    </w:p>
    <w:p w14:paraId="233E2AC2" w14:textId="77777777" w:rsidR="00EA1FC4" w:rsidRPr="00EA1FC4" w:rsidRDefault="00EA1FC4" w:rsidP="00EA1FC4">
      <w:pPr>
        <w:pStyle w:val="Paragraphedeliste"/>
        <w:numPr>
          <w:ilvl w:val="0"/>
          <w:numId w:val="18"/>
        </w:numPr>
        <w:rPr>
          <w:rFonts w:ascii="Times New Roman" w:hAnsi="Times New Roman" w:cs="Times New Roman"/>
        </w:rPr>
      </w:pPr>
      <w:r w:rsidRPr="00EA1FC4">
        <w:rPr>
          <w:rFonts w:ascii="Times New Roman" w:hAnsi="Times New Roman" w:cs="Times New Roman"/>
        </w:rPr>
        <w:t>11 entreprises sont classées "Élevé"</w:t>
      </w:r>
    </w:p>
    <w:p w14:paraId="22FB0A5A" w14:textId="77777777" w:rsidR="00EA1FC4" w:rsidRPr="00EA1FC4" w:rsidRDefault="00EA1FC4" w:rsidP="00EA1FC4">
      <w:pPr>
        <w:pStyle w:val="Paragraphedeliste"/>
        <w:numPr>
          <w:ilvl w:val="0"/>
          <w:numId w:val="18"/>
        </w:numPr>
        <w:rPr>
          <w:rFonts w:ascii="Times New Roman" w:hAnsi="Times New Roman" w:cs="Times New Roman"/>
        </w:rPr>
      </w:pPr>
      <w:r w:rsidRPr="00EA1FC4">
        <w:rPr>
          <w:rFonts w:ascii="Times New Roman" w:hAnsi="Times New Roman" w:cs="Times New Roman"/>
        </w:rPr>
        <w:t>10 entreprises au niveau "Moyen"</w:t>
      </w:r>
    </w:p>
    <w:p w14:paraId="13C8E92D" w14:textId="77777777" w:rsidR="00EA1FC4" w:rsidRPr="00EA1FC4" w:rsidRDefault="00EA1FC4" w:rsidP="00EA1FC4">
      <w:pPr>
        <w:pStyle w:val="Paragraphedeliste"/>
        <w:numPr>
          <w:ilvl w:val="0"/>
          <w:numId w:val="18"/>
        </w:numPr>
        <w:rPr>
          <w:rFonts w:ascii="Times New Roman" w:hAnsi="Times New Roman" w:cs="Times New Roman"/>
        </w:rPr>
      </w:pPr>
      <w:r w:rsidRPr="00EA1FC4">
        <w:rPr>
          <w:rFonts w:ascii="Times New Roman" w:hAnsi="Times New Roman" w:cs="Times New Roman"/>
        </w:rPr>
        <w:t>7 entreprises ont atteint le statut "Leader"</w:t>
      </w:r>
    </w:p>
    <w:p w14:paraId="1DA62BF5" w14:textId="77777777" w:rsidR="00EA1FC4" w:rsidRPr="00EA1FC4" w:rsidRDefault="00EA1FC4" w:rsidP="00EA1FC4">
      <w:pPr>
        <w:pStyle w:val="Paragraphedeliste"/>
        <w:numPr>
          <w:ilvl w:val="0"/>
          <w:numId w:val="18"/>
        </w:numPr>
        <w:rPr>
          <w:rFonts w:ascii="Times New Roman" w:hAnsi="Times New Roman" w:cs="Times New Roman"/>
        </w:rPr>
      </w:pPr>
      <w:r w:rsidRPr="00EA1FC4">
        <w:rPr>
          <w:rFonts w:ascii="Times New Roman" w:hAnsi="Times New Roman" w:cs="Times New Roman"/>
        </w:rPr>
        <w:t>2 entreprises restent au niveau "Faible"</w:t>
      </w:r>
    </w:p>
    <w:p w14:paraId="0AF109DC" w14:textId="2C3883D8" w:rsidR="00EA1FC4" w:rsidRPr="00EA1FC4" w:rsidRDefault="00EA1FC4" w:rsidP="00EA1FC4">
      <w:pPr>
        <w:rPr>
          <w:rFonts w:ascii="Times New Roman" w:hAnsi="Times New Roman" w:cs="Times New Roman"/>
        </w:rPr>
      </w:pPr>
      <w:r w:rsidRPr="00EA1FC4">
        <w:rPr>
          <w:rFonts w:ascii="Times New Roman" w:hAnsi="Times New Roman" w:cs="Times New Roman"/>
        </w:rPr>
        <w:t xml:space="preserve">En 2024, sur les 30 entreprises analysées, 7 seulement </w:t>
      </w:r>
      <w:r>
        <w:rPr>
          <w:rFonts w:ascii="Times New Roman" w:hAnsi="Times New Roman" w:cs="Times New Roman"/>
        </w:rPr>
        <w:t xml:space="preserve">environ </w:t>
      </w:r>
      <w:r w:rsidRPr="00EA1FC4">
        <w:rPr>
          <w:rFonts w:ascii="Times New Roman" w:hAnsi="Times New Roman" w:cs="Times New Roman"/>
        </w:rPr>
        <w:t>23% sont de véritables leaders ESG. Les 21 entreprises restantes ont encore une marge de progression significative. Le secteur avance, mais l'excellence ESG reste l'exception, pas la norme.</w:t>
      </w:r>
    </w:p>
    <w:p w14:paraId="5C13E4B5" w14:textId="59487CC7" w:rsidR="00EA1FC4" w:rsidRPr="00EA1FC4" w:rsidRDefault="00EA1FC4" w:rsidP="00EA1FC4">
      <w:pPr>
        <w:rPr>
          <w:rFonts w:ascii="Times New Roman" w:hAnsi="Times New Roman" w:cs="Times New Roman"/>
        </w:rPr>
      </w:pPr>
      <w:r w:rsidRPr="00EA1FC4">
        <w:rPr>
          <w:rFonts w:ascii="Times New Roman" w:hAnsi="Times New Roman" w:cs="Times New Roman"/>
        </w:rPr>
        <w:t>La maturité ESG progresse dans la bonne direction, mais la masse critique de leaders capables d'entraîner l'ensemble du secteur n'est pas encore atteinte.</w:t>
      </w:r>
    </w:p>
    <w:p w14:paraId="62140B25" w14:textId="1587712A" w:rsidR="00040D04" w:rsidRPr="00040D04" w:rsidRDefault="00040D04" w:rsidP="00040D04">
      <w:pPr>
        <w:pStyle w:val="Paragraphedeliste"/>
        <w:numPr>
          <w:ilvl w:val="0"/>
          <w:numId w:val="9"/>
        </w:numPr>
        <w:rPr>
          <w:rFonts w:ascii="Times New Roman" w:hAnsi="Times New Roman" w:cs="Times New Roman"/>
        </w:rPr>
      </w:pPr>
      <w:r w:rsidRPr="00040D04">
        <w:rPr>
          <w:rFonts w:ascii="Times New Roman" w:hAnsi="Times New Roman" w:cs="Times New Roman"/>
        </w:rPr>
        <w:t>Le fossé entre les meilleurs et les moins bons</w:t>
      </w:r>
    </w:p>
    <w:p w14:paraId="6F659DEF" w14:textId="77777777" w:rsidR="00040D04" w:rsidRPr="00040D04" w:rsidRDefault="00040D04" w:rsidP="00040D04">
      <w:pPr>
        <w:pStyle w:val="font-claude-response-body"/>
      </w:pPr>
      <w:r w:rsidRPr="00040D04">
        <w:t xml:space="preserve">Les deux classements </w:t>
      </w:r>
      <w:r w:rsidRPr="00040D04">
        <w:rPr>
          <w:rStyle w:val="lev"/>
          <w:b w:val="0"/>
          <w:bCs w:val="0"/>
        </w:rPr>
        <w:t>Top 10</w:t>
      </w:r>
      <w:r w:rsidRPr="00040D04">
        <w:t xml:space="preserve"> et </w:t>
      </w:r>
      <w:r w:rsidRPr="00040D04">
        <w:rPr>
          <w:rStyle w:val="lev"/>
          <w:b w:val="0"/>
          <w:bCs w:val="0"/>
        </w:rPr>
        <w:t>Bottom 10</w:t>
      </w:r>
      <w:r w:rsidRPr="00040D04">
        <w:t xml:space="preserve"> des scores ESG révèlent l'étendue des écarts.</w:t>
      </w:r>
    </w:p>
    <w:p w14:paraId="2868C3D9" w14:textId="0968DF91" w:rsidR="00040D04" w:rsidRPr="00040D04" w:rsidRDefault="00040D04" w:rsidP="00040D04">
      <w:pPr>
        <w:pStyle w:val="font-claude-response-body"/>
      </w:pPr>
      <w:r w:rsidRPr="00040D04">
        <w:rPr>
          <w:rStyle w:val="lev"/>
          <w:b w:val="0"/>
          <w:bCs w:val="0"/>
        </w:rPr>
        <w:t>Les leaders</w:t>
      </w:r>
      <w:proofErr w:type="gramStart"/>
      <w:r w:rsidR="006C672D">
        <w:t> :</w:t>
      </w:r>
      <w:r w:rsidRPr="00040D04">
        <w:t>Siemens</w:t>
      </w:r>
      <w:proofErr w:type="gramEnd"/>
      <w:r w:rsidRPr="00040D04">
        <w:t>,</w:t>
      </w:r>
      <w:r w:rsidR="006C672D">
        <w:t xml:space="preserve"> </w:t>
      </w:r>
      <w:r w:rsidRPr="00040D04">
        <w:t xml:space="preserve">Iberdrola, Enel, </w:t>
      </w:r>
      <w:proofErr w:type="spellStart"/>
      <w:r w:rsidRPr="00040D04">
        <w:t>NextEra</w:t>
      </w:r>
      <w:proofErr w:type="spellEnd"/>
      <w:r w:rsidRPr="00040D04">
        <w:t xml:space="preserve">, </w:t>
      </w:r>
      <w:proofErr w:type="gramStart"/>
      <w:r w:rsidRPr="00040D04">
        <w:t>E.ON</w:t>
      </w:r>
      <w:proofErr w:type="gramEnd"/>
      <w:r w:rsidR="006C672D">
        <w:t xml:space="preserve">, </w:t>
      </w:r>
      <w:r w:rsidRPr="00040D04">
        <w:t xml:space="preserve">affichent des scores proches de </w:t>
      </w:r>
      <w:r w:rsidRPr="00040D04">
        <w:rPr>
          <w:rStyle w:val="lev"/>
          <w:b w:val="0"/>
          <w:bCs w:val="0"/>
        </w:rPr>
        <w:t>100</w:t>
      </w:r>
      <w:r w:rsidRPr="00040D04">
        <w:t xml:space="preserve">, témoignant d'une stratégie ESG intégrée, mature et mesurable. Ces entreprises sont majoritairement </w:t>
      </w:r>
      <w:r w:rsidR="006C672D" w:rsidRPr="00040D04">
        <w:t xml:space="preserve">des </w:t>
      </w:r>
      <w:r w:rsidR="006C672D" w:rsidRPr="00040D04">
        <w:rPr>
          <w:rStyle w:val="lev"/>
          <w:b w:val="0"/>
          <w:bCs w:val="0"/>
        </w:rPr>
        <w:t>utilities européens</w:t>
      </w:r>
      <w:r w:rsidRPr="00040D04">
        <w:t>, ce qui confirme l'avance réglementaire et culturelle de l'Europe en matière de transition.</w:t>
      </w:r>
    </w:p>
    <w:p w14:paraId="562E3692" w14:textId="16A303B5" w:rsidR="00040D04" w:rsidRPr="00040D04" w:rsidRDefault="00040D04" w:rsidP="00040D04">
      <w:pPr>
        <w:pStyle w:val="font-claude-response-body"/>
      </w:pPr>
      <w:r w:rsidRPr="00040D04">
        <w:rPr>
          <w:rStyle w:val="lev"/>
          <w:b w:val="0"/>
          <w:bCs w:val="0"/>
        </w:rPr>
        <w:t>Les retardataires</w:t>
      </w:r>
      <w:r w:rsidR="006C672D">
        <w:t xml:space="preserve">, </w:t>
      </w:r>
      <w:r w:rsidRPr="00040D04">
        <w:t xml:space="preserve">Pioneer, Occidental, ExxonMobil, Chevron, </w:t>
      </w:r>
      <w:proofErr w:type="spellStart"/>
      <w:r w:rsidRPr="00040D04">
        <w:t>ConocoPhillips</w:t>
      </w:r>
      <w:proofErr w:type="spellEnd"/>
      <w:r w:rsidR="006C672D">
        <w:t xml:space="preserve">, </w:t>
      </w:r>
      <w:r w:rsidRPr="00040D04">
        <w:t xml:space="preserve">stagnent entre </w:t>
      </w:r>
      <w:r w:rsidRPr="00040D04">
        <w:rPr>
          <w:rStyle w:val="lev"/>
          <w:b w:val="0"/>
          <w:bCs w:val="0"/>
        </w:rPr>
        <w:t>20 et 40</w:t>
      </w:r>
      <w:r w:rsidRPr="00040D04">
        <w:t xml:space="preserve">, et ce sont presque exclusivement des </w:t>
      </w:r>
      <w:r w:rsidRPr="00040D04">
        <w:rPr>
          <w:rStyle w:val="lev"/>
          <w:b w:val="0"/>
          <w:bCs w:val="0"/>
        </w:rPr>
        <w:t>majors pétrolières américaines</w:t>
      </w:r>
      <w:r w:rsidRPr="00040D04">
        <w:t xml:space="preserve">. Leur score </w:t>
      </w:r>
      <w:r w:rsidRPr="00040D04">
        <w:lastRenderedPageBreak/>
        <w:t>faible reflète à la fois des émissions élevées, une gouvernance ESG moins développée, et une stratégie encore largement centrée sur les hydrocarbures.</w:t>
      </w:r>
    </w:p>
    <w:p w14:paraId="45F0579B" w14:textId="540BFFAC" w:rsidR="00040D04" w:rsidRDefault="00040D04" w:rsidP="00040D04">
      <w:pPr>
        <w:pStyle w:val="font-claude-response-body"/>
      </w:pPr>
      <w:r w:rsidRPr="00040D04">
        <w:t xml:space="preserve">Le clivage ESG est aussi </w:t>
      </w:r>
      <w:r w:rsidRPr="00040D04">
        <w:rPr>
          <w:rStyle w:val="lev"/>
          <w:b w:val="0"/>
          <w:bCs w:val="0"/>
        </w:rPr>
        <w:t>géographique et sectoriel</w:t>
      </w:r>
      <w:r w:rsidR="006C672D">
        <w:t xml:space="preserve">. </w:t>
      </w:r>
      <w:r w:rsidRPr="00040D04">
        <w:t xml:space="preserve">Europe vs États-Unis, Utilities vs </w:t>
      </w:r>
      <w:r w:rsidR="006C672D">
        <w:t>Energies</w:t>
      </w:r>
      <w:r w:rsidRPr="00040D04">
        <w:t>. Ce n'est pas qu'une question de volonté : c'est aussi une question de modèle économique et de cadre réglementaire.</w:t>
      </w:r>
    </w:p>
    <w:p w14:paraId="538C9E8D" w14:textId="77777777" w:rsidR="00EA1FC4" w:rsidRPr="00040D04" w:rsidRDefault="00EA1FC4" w:rsidP="00040D04">
      <w:pPr>
        <w:pStyle w:val="font-claude-response-body"/>
      </w:pPr>
    </w:p>
    <w:p w14:paraId="51FE488F" w14:textId="77777777" w:rsidR="00EA1FC4" w:rsidRPr="00EA1FC4" w:rsidRDefault="00EA1FC4" w:rsidP="00EA1FC4">
      <w:pPr>
        <w:rPr>
          <w:rFonts w:ascii="Times New Roman" w:hAnsi="Times New Roman" w:cs="Times New Roman"/>
        </w:rPr>
      </w:pPr>
      <w:r w:rsidRPr="00EA1FC4">
        <w:rPr>
          <w:rFonts w:ascii="Times New Roman" w:hAnsi="Times New Roman" w:cs="Times New Roman"/>
        </w:rPr>
        <w:t>Ce que les données recommandent</w:t>
      </w:r>
    </w:p>
    <w:p w14:paraId="23327868" w14:textId="77777777" w:rsidR="00EA1FC4" w:rsidRPr="00EA1FC4" w:rsidRDefault="00EA1FC4" w:rsidP="00EA1FC4">
      <w:pPr>
        <w:rPr>
          <w:rFonts w:ascii="Times New Roman" w:hAnsi="Times New Roman" w:cs="Times New Roman"/>
        </w:rPr>
      </w:pPr>
      <w:r w:rsidRPr="00EA1FC4">
        <w:rPr>
          <w:rFonts w:ascii="Times New Roman" w:hAnsi="Times New Roman" w:cs="Times New Roman"/>
        </w:rPr>
        <w:t xml:space="preserve">Ce </w:t>
      </w:r>
      <w:proofErr w:type="spellStart"/>
      <w:r w:rsidRPr="00EA1FC4">
        <w:rPr>
          <w:rFonts w:ascii="Times New Roman" w:hAnsi="Times New Roman" w:cs="Times New Roman"/>
        </w:rPr>
        <w:t>dashboard</w:t>
      </w:r>
      <w:proofErr w:type="spellEnd"/>
      <w:r w:rsidRPr="00EA1FC4">
        <w:rPr>
          <w:rFonts w:ascii="Times New Roman" w:hAnsi="Times New Roman" w:cs="Times New Roman"/>
        </w:rPr>
        <w:t xml:space="preserve"> ne se contente pas de mesurer : il oriente les décisions. Voici les trois leviers d'action qu'il met en évidence :</w:t>
      </w:r>
    </w:p>
    <w:p w14:paraId="6241FB2E" w14:textId="54AB6C73" w:rsidR="00EA1FC4" w:rsidRPr="00EA1FC4" w:rsidRDefault="00EA1FC4" w:rsidP="00EA1FC4">
      <w:pPr>
        <w:rPr>
          <w:rFonts w:ascii="Times New Roman" w:hAnsi="Times New Roman" w:cs="Times New Roman"/>
        </w:rPr>
      </w:pPr>
      <w:r w:rsidRPr="00EA1FC4">
        <w:rPr>
          <w:rFonts w:ascii="Times New Roman" w:hAnsi="Times New Roman" w:cs="Times New Roman"/>
          <w:b/>
          <w:bCs/>
        </w:rPr>
        <w:t>1. Accélérer la transition dans le secteur Énergie</w:t>
      </w:r>
      <w:r w:rsidRPr="00EA1FC4">
        <w:rPr>
          <w:rFonts w:ascii="Times New Roman" w:hAnsi="Times New Roman" w:cs="Times New Roman"/>
        </w:rPr>
        <w:t xml:space="preserve"> Avec un score ESG de seulement 46/100, c'est le secteur le plus en retard. Les gains potentiels y sont les plus importants, notamment sur les dimensions Social et Gouvernance qui pénalisent fortement sa note globale.</w:t>
      </w:r>
    </w:p>
    <w:p w14:paraId="184E05E8" w14:textId="77777777" w:rsidR="00EA1FC4" w:rsidRPr="00EA1FC4" w:rsidRDefault="00EA1FC4" w:rsidP="00EA1FC4">
      <w:pPr>
        <w:rPr>
          <w:rFonts w:ascii="Times New Roman" w:hAnsi="Times New Roman" w:cs="Times New Roman"/>
        </w:rPr>
      </w:pPr>
      <w:r w:rsidRPr="00EA1FC4">
        <w:rPr>
          <w:rFonts w:ascii="Times New Roman" w:hAnsi="Times New Roman" w:cs="Times New Roman"/>
          <w:b/>
          <w:bCs/>
        </w:rPr>
        <w:t xml:space="preserve">2. Faire progresser les entreprises </w:t>
      </w:r>
      <w:r w:rsidRPr="00EA1FC4">
        <w:rPr>
          <w:rFonts w:ascii="Times New Roman" w:hAnsi="Times New Roman" w:cs="Times New Roman"/>
        </w:rPr>
        <w:t>"Moyen" vers "Élevé" En 2024, 10 entreprises sur 30 sont encore classées "Moyen". C'est là que se trouve le plus grand levier de transformation. Un programme d'accompagnement ciblé sur ce groupe aurait un impact direct sur la maturité ESG globale du secteur.</w:t>
      </w:r>
    </w:p>
    <w:p w14:paraId="044541DE" w14:textId="77777777" w:rsidR="00EA1FC4" w:rsidRPr="00EA1FC4" w:rsidRDefault="00EA1FC4" w:rsidP="00EA1FC4">
      <w:pPr>
        <w:rPr>
          <w:rFonts w:ascii="Times New Roman" w:hAnsi="Times New Roman" w:cs="Times New Roman"/>
        </w:rPr>
      </w:pPr>
      <w:r w:rsidRPr="00EA1FC4">
        <w:rPr>
          <w:rFonts w:ascii="Times New Roman" w:hAnsi="Times New Roman" w:cs="Times New Roman"/>
          <w:b/>
          <w:bCs/>
        </w:rPr>
        <w:t>3. S'inspirer des modèles européens</w:t>
      </w:r>
      <w:r w:rsidRPr="00EA1FC4">
        <w:rPr>
          <w:rFonts w:ascii="Times New Roman" w:hAnsi="Times New Roman" w:cs="Times New Roman"/>
        </w:rPr>
        <w:t xml:space="preserve"> Siemens, Iberdrola, Enel, </w:t>
      </w:r>
      <w:proofErr w:type="gramStart"/>
      <w:r w:rsidRPr="00EA1FC4">
        <w:rPr>
          <w:rFonts w:ascii="Times New Roman" w:hAnsi="Times New Roman" w:cs="Times New Roman"/>
        </w:rPr>
        <w:t>E.ON</w:t>
      </w:r>
      <w:proofErr w:type="gramEnd"/>
      <w:r w:rsidRPr="00EA1FC4">
        <w:rPr>
          <w:rFonts w:ascii="Times New Roman" w:hAnsi="Times New Roman" w:cs="Times New Roman"/>
        </w:rPr>
        <w:t xml:space="preserve"> et </w:t>
      </w:r>
      <w:proofErr w:type="spellStart"/>
      <w:r w:rsidRPr="00EA1FC4">
        <w:rPr>
          <w:rFonts w:ascii="Times New Roman" w:hAnsi="Times New Roman" w:cs="Times New Roman"/>
        </w:rPr>
        <w:t>NextEra</w:t>
      </w:r>
      <w:proofErr w:type="spellEnd"/>
      <w:r w:rsidRPr="00EA1FC4">
        <w:rPr>
          <w:rFonts w:ascii="Times New Roman" w:hAnsi="Times New Roman" w:cs="Times New Roman"/>
        </w:rPr>
        <w:t xml:space="preserve"> prouvent qu'un score ESG proche de 100 est atteignable. Ces 7 leaders, majoritairement européens, constituent un benchmark concret et actionnable pour les 21 entreprises qui n'ont pas encore atteint l'excellence.</w:t>
      </w:r>
    </w:p>
    <w:p w14:paraId="28762322" w14:textId="77777777" w:rsidR="00123C84" w:rsidRDefault="00123C84" w:rsidP="00123C84">
      <w:pPr>
        <w:rPr>
          <w:rFonts w:ascii="Times New Roman" w:hAnsi="Times New Roman" w:cs="Times New Roman"/>
          <w:b/>
          <w:bCs/>
        </w:rPr>
      </w:pPr>
    </w:p>
    <w:p w14:paraId="3151CEAD" w14:textId="77777777" w:rsidR="00123C84" w:rsidRDefault="00123C84" w:rsidP="00123C84">
      <w:pPr>
        <w:rPr>
          <w:rFonts w:ascii="Times New Roman" w:hAnsi="Times New Roman" w:cs="Times New Roman"/>
          <w:b/>
          <w:bCs/>
        </w:rPr>
      </w:pPr>
    </w:p>
    <w:p w14:paraId="086DCF12" w14:textId="77777777" w:rsidR="00123C84" w:rsidRDefault="00123C84" w:rsidP="00123C84">
      <w:pPr>
        <w:rPr>
          <w:rFonts w:ascii="Times New Roman" w:hAnsi="Times New Roman" w:cs="Times New Roman"/>
          <w:b/>
          <w:bCs/>
        </w:rPr>
      </w:pPr>
    </w:p>
    <w:p w14:paraId="5CA57FAA" w14:textId="77777777" w:rsidR="00123C84" w:rsidRDefault="00123C84" w:rsidP="00123C84">
      <w:pPr>
        <w:rPr>
          <w:rFonts w:ascii="Times New Roman" w:hAnsi="Times New Roman" w:cs="Times New Roman"/>
          <w:b/>
          <w:bCs/>
        </w:rPr>
      </w:pPr>
    </w:p>
    <w:p w14:paraId="563DDB71" w14:textId="77777777" w:rsidR="00123C84" w:rsidRDefault="00123C84" w:rsidP="00123C84">
      <w:pPr>
        <w:rPr>
          <w:rFonts w:ascii="Times New Roman" w:hAnsi="Times New Roman" w:cs="Times New Roman"/>
          <w:b/>
          <w:bCs/>
        </w:rPr>
      </w:pPr>
    </w:p>
    <w:p w14:paraId="29B9776E" w14:textId="77777777" w:rsidR="00123C84" w:rsidRDefault="00123C84" w:rsidP="00123C84">
      <w:pPr>
        <w:rPr>
          <w:rFonts w:ascii="Times New Roman" w:hAnsi="Times New Roman" w:cs="Times New Roman"/>
          <w:b/>
          <w:bCs/>
        </w:rPr>
      </w:pPr>
    </w:p>
    <w:p w14:paraId="442AC557" w14:textId="77777777" w:rsidR="00123C84" w:rsidRDefault="00123C84" w:rsidP="00123C84">
      <w:pPr>
        <w:rPr>
          <w:rFonts w:ascii="Times New Roman" w:hAnsi="Times New Roman" w:cs="Times New Roman"/>
          <w:b/>
          <w:bCs/>
        </w:rPr>
      </w:pPr>
    </w:p>
    <w:p w14:paraId="5E7993E1" w14:textId="77777777" w:rsidR="00123C84" w:rsidRDefault="00123C84" w:rsidP="00123C84">
      <w:pPr>
        <w:rPr>
          <w:rFonts w:ascii="Times New Roman" w:hAnsi="Times New Roman" w:cs="Times New Roman"/>
          <w:b/>
          <w:bCs/>
        </w:rPr>
      </w:pPr>
    </w:p>
    <w:p w14:paraId="023E440B" w14:textId="77777777" w:rsidR="00123C84" w:rsidRDefault="00123C84" w:rsidP="00123C84">
      <w:pPr>
        <w:rPr>
          <w:rFonts w:ascii="Times New Roman" w:hAnsi="Times New Roman" w:cs="Times New Roman"/>
          <w:b/>
          <w:bCs/>
        </w:rPr>
      </w:pPr>
    </w:p>
    <w:p w14:paraId="06EAB4E9" w14:textId="77777777" w:rsidR="00123C84" w:rsidRDefault="00123C84" w:rsidP="00123C84">
      <w:pPr>
        <w:rPr>
          <w:rFonts w:ascii="Times New Roman" w:hAnsi="Times New Roman" w:cs="Times New Roman"/>
          <w:b/>
          <w:bCs/>
        </w:rPr>
      </w:pPr>
    </w:p>
    <w:p w14:paraId="10A67249" w14:textId="77777777" w:rsidR="00123C84" w:rsidRDefault="00123C84" w:rsidP="00123C84">
      <w:pPr>
        <w:rPr>
          <w:rFonts w:ascii="Times New Roman" w:hAnsi="Times New Roman" w:cs="Times New Roman"/>
          <w:b/>
          <w:bCs/>
        </w:rPr>
      </w:pPr>
    </w:p>
    <w:p w14:paraId="7AE29E21" w14:textId="77777777" w:rsidR="00123C84" w:rsidRDefault="00123C84" w:rsidP="00123C84">
      <w:pPr>
        <w:rPr>
          <w:rFonts w:ascii="Times New Roman" w:hAnsi="Times New Roman" w:cs="Times New Roman"/>
          <w:b/>
          <w:bCs/>
        </w:rPr>
      </w:pPr>
    </w:p>
    <w:p w14:paraId="45C5F0CF" w14:textId="77777777" w:rsidR="00123C84" w:rsidRDefault="00123C84" w:rsidP="00123C84">
      <w:pPr>
        <w:rPr>
          <w:rFonts w:ascii="Times New Roman" w:hAnsi="Times New Roman" w:cs="Times New Roman"/>
          <w:b/>
          <w:bCs/>
        </w:rPr>
      </w:pPr>
    </w:p>
    <w:p w14:paraId="76CEAE85" w14:textId="77777777" w:rsidR="00123C84" w:rsidRDefault="00123C84" w:rsidP="00123C84">
      <w:pPr>
        <w:rPr>
          <w:rFonts w:ascii="Times New Roman" w:hAnsi="Times New Roman" w:cs="Times New Roman"/>
          <w:b/>
          <w:bCs/>
        </w:rPr>
      </w:pPr>
    </w:p>
    <w:p w14:paraId="783730D8" w14:textId="1865D7FC" w:rsidR="00EE5FC2" w:rsidRPr="000C1C43" w:rsidRDefault="00EE5FC2" w:rsidP="000C1C43">
      <w:pPr>
        <w:rPr>
          <w:rFonts w:ascii="Times New Roman" w:hAnsi="Times New Roman" w:cs="Times New Roman"/>
        </w:rPr>
      </w:pPr>
      <w:r>
        <w:rPr>
          <w:rFonts w:ascii="Times New Roman" w:hAnsi="Times New Roman" w:cs="Times New Roman"/>
        </w:rPr>
        <w:t xml:space="preserve"> </w:t>
      </w:r>
    </w:p>
    <w:sectPr w:rsidR="00EE5FC2" w:rsidRPr="000C1C43">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BCB2" w14:textId="77777777" w:rsidR="00C12162" w:rsidRDefault="00C12162" w:rsidP="00F102BA">
      <w:pPr>
        <w:spacing w:after="0" w:line="240" w:lineRule="auto"/>
      </w:pPr>
      <w:r>
        <w:separator/>
      </w:r>
    </w:p>
  </w:endnote>
  <w:endnote w:type="continuationSeparator" w:id="0">
    <w:p w14:paraId="4B9073A3" w14:textId="77777777" w:rsidR="00C12162" w:rsidRDefault="00C12162" w:rsidP="00F10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252734"/>
      <w:docPartObj>
        <w:docPartGallery w:val="Page Numbers (Bottom of Page)"/>
        <w:docPartUnique/>
      </w:docPartObj>
    </w:sdtPr>
    <w:sdtContent>
      <w:p w14:paraId="11348EF9" w14:textId="180785D4" w:rsidR="00F102BA" w:rsidRDefault="00F102BA">
        <w:pPr>
          <w:pStyle w:val="Pieddepage"/>
        </w:pPr>
        <w:r>
          <w:fldChar w:fldCharType="begin"/>
        </w:r>
        <w:r>
          <w:instrText>PAGE   \* MERGEFORMAT</w:instrText>
        </w:r>
        <w:r>
          <w:fldChar w:fldCharType="separate"/>
        </w:r>
        <w:r>
          <w:t>2</w:t>
        </w:r>
        <w:r>
          <w:fldChar w:fldCharType="end"/>
        </w:r>
      </w:p>
    </w:sdtContent>
  </w:sdt>
  <w:p w14:paraId="2A6DDC95" w14:textId="77777777" w:rsidR="00F102BA" w:rsidRDefault="00F102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1EDF" w14:textId="77777777" w:rsidR="00C12162" w:rsidRDefault="00C12162" w:rsidP="00F102BA">
      <w:pPr>
        <w:spacing w:after="0" w:line="240" w:lineRule="auto"/>
      </w:pPr>
      <w:r>
        <w:separator/>
      </w:r>
    </w:p>
  </w:footnote>
  <w:footnote w:type="continuationSeparator" w:id="0">
    <w:p w14:paraId="62FF0978" w14:textId="77777777" w:rsidR="00C12162" w:rsidRDefault="00C12162" w:rsidP="00F10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734"/>
    <w:multiLevelType w:val="multilevel"/>
    <w:tmpl w:val="AA5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78DE"/>
    <w:multiLevelType w:val="hybridMultilevel"/>
    <w:tmpl w:val="1604EF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E401C0"/>
    <w:multiLevelType w:val="multilevel"/>
    <w:tmpl w:val="B386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76435"/>
    <w:multiLevelType w:val="hybridMultilevel"/>
    <w:tmpl w:val="0C8C9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CF675F"/>
    <w:multiLevelType w:val="multilevel"/>
    <w:tmpl w:val="EE7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4140F"/>
    <w:multiLevelType w:val="hybridMultilevel"/>
    <w:tmpl w:val="7C72A3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6786067"/>
    <w:multiLevelType w:val="hybridMultilevel"/>
    <w:tmpl w:val="746CD7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A340D22"/>
    <w:multiLevelType w:val="multilevel"/>
    <w:tmpl w:val="E536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946F2"/>
    <w:multiLevelType w:val="hybridMultilevel"/>
    <w:tmpl w:val="CF78A6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03C7BB5"/>
    <w:multiLevelType w:val="multilevel"/>
    <w:tmpl w:val="28E6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379D0"/>
    <w:multiLevelType w:val="multilevel"/>
    <w:tmpl w:val="C2A2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85869"/>
    <w:multiLevelType w:val="multilevel"/>
    <w:tmpl w:val="DF8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97D81"/>
    <w:multiLevelType w:val="multilevel"/>
    <w:tmpl w:val="455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50777"/>
    <w:multiLevelType w:val="multilevel"/>
    <w:tmpl w:val="005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A6D64"/>
    <w:multiLevelType w:val="multilevel"/>
    <w:tmpl w:val="C12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A2A7F"/>
    <w:multiLevelType w:val="multilevel"/>
    <w:tmpl w:val="292E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E28D4"/>
    <w:multiLevelType w:val="multilevel"/>
    <w:tmpl w:val="037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F1885"/>
    <w:multiLevelType w:val="hybridMultilevel"/>
    <w:tmpl w:val="C46AB0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33015543">
    <w:abstractNumId w:val="9"/>
  </w:num>
  <w:num w:numId="2" w16cid:durableId="1533113377">
    <w:abstractNumId w:val="10"/>
  </w:num>
  <w:num w:numId="3" w16cid:durableId="1238635003">
    <w:abstractNumId w:val="14"/>
  </w:num>
  <w:num w:numId="4" w16cid:durableId="751009130">
    <w:abstractNumId w:val="2"/>
  </w:num>
  <w:num w:numId="5" w16cid:durableId="575747518">
    <w:abstractNumId w:val="17"/>
  </w:num>
  <w:num w:numId="6" w16cid:durableId="106894925">
    <w:abstractNumId w:val="12"/>
  </w:num>
  <w:num w:numId="7" w16cid:durableId="1131748533">
    <w:abstractNumId w:val="1"/>
  </w:num>
  <w:num w:numId="8" w16cid:durableId="1411654154">
    <w:abstractNumId w:val="5"/>
  </w:num>
  <w:num w:numId="9" w16cid:durableId="303697931">
    <w:abstractNumId w:val="6"/>
  </w:num>
  <w:num w:numId="10" w16cid:durableId="738094406">
    <w:abstractNumId w:val="15"/>
  </w:num>
  <w:num w:numId="11" w16cid:durableId="656810468">
    <w:abstractNumId w:val="11"/>
  </w:num>
  <w:num w:numId="12" w16cid:durableId="225336239">
    <w:abstractNumId w:val="4"/>
  </w:num>
  <w:num w:numId="13" w16cid:durableId="1749883455">
    <w:abstractNumId w:val="3"/>
  </w:num>
  <w:num w:numId="14" w16cid:durableId="2014064908">
    <w:abstractNumId w:val="7"/>
  </w:num>
  <w:num w:numId="15" w16cid:durableId="1996448617">
    <w:abstractNumId w:val="16"/>
  </w:num>
  <w:num w:numId="16" w16cid:durableId="34165551">
    <w:abstractNumId w:val="0"/>
  </w:num>
  <w:num w:numId="17" w16cid:durableId="199050735">
    <w:abstractNumId w:val="13"/>
  </w:num>
  <w:num w:numId="18" w16cid:durableId="5168488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240"/>
    <w:rsid w:val="00040D04"/>
    <w:rsid w:val="00087A80"/>
    <w:rsid w:val="000C1C43"/>
    <w:rsid w:val="000F7EC3"/>
    <w:rsid w:val="00123C84"/>
    <w:rsid w:val="00257762"/>
    <w:rsid w:val="002847BD"/>
    <w:rsid w:val="0029530B"/>
    <w:rsid w:val="00321ED9"/>
    <w:rsid w:val="00401C46"/>
    <w:rsid w:val="00474240"/>
    <w:rsid w:val="00476C72"/>
    <w:rsid w:val="004A770D"/>
    <w:rsid w:val="00535CC2"/>
    <w:rsid w:val="0057039F"/>
    <w:rsid w:val="00662225"/>
    <w:rsid w:val="0069164B"/>
    <w:rsid w:val="006C672D"/>
    <w:rsid w:val="007254EF"/>
    <w:rsid w:val="00727EBA"/>
    <w:rsid w:val="007C6F4D"/>
    <w:rsid w:val="00856518"/>
    <w:rsid w:val="00A8653C"/>
    <w:rsid w:val="00B262C4"/>
    <w:rsid w:val="00B55B45"/>
    <w:rsid w:val="00C12162"/>
    <w:rsid w:val="00C23035"/>
    <w:rsid w:val="00CE2324"/>
    <w:rsid w:val="00DD151D"/>
    <w:rsid w:val="00DD160C"/>
    <w:rsid w:val="00E83C84"/>
    <w:rsid w:val="00EA1FC4"/>
    <w:rsid w:val="00EE5FC2"/>
    <w:rsid w:val="00F102BA"/>
    <w:rsid w:val="00FE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FC9E"/>
  <w15:chartTrackingRefBased/>
  <w15:docId w15:val="{0B53CDE2-0EE8-4F5A-A358-A916C823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42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742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7424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424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424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42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42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42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42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424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7424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7424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424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424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42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42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42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4240"/>
    <w:rPr>
      <w:rFonts w:eastAsiaTheme="majorEastAsia" w:cstheme="majorBidi"/>
      <w:color w:val="272727" w:themeColor="text1" w:themeTint="D8"/>
    </w:rPr>
  </w:style>
  <w:style w:type="paragraph" w:styleId="Titre">
    <w:name w:val="Title"/>
    <w:basedOn w:val="Normal"/>
    <w:next w:val="Normal"/>
    <w:link w:val="TitreCar"/>
    <w:uiPriority w:val="10"/>
    <w:qFormat/>
    <w:rsid w:val="0047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2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42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42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4240"/>
    <w:pPr>
      <w:spacing w:before="160"/>
      <w:jc w:val="center"/>
    </w:pPr>
    <w:rPr>
      <w:i/>
      <w:iCs/>
      <w:color w:val="404040" w:themeColor="text1" w:themeTint="BF"/>
    </w:rPr>
  </w:style>
  <w:style w:type="character" w:customStyle="1" w:styleId="CitationCar">
    <w:name w:val="Citation Car"/>
    <w:basedOn w:val="Policepardfaut"/>
    <w:link w:val="Citation"/>
    <w:uiPriority w:val="29"/>
    <w:rsid w:val="00474240"/>
    <w:rPr>
      <w:i/>
      <w:iCs/>
      <w:color w:val="404040" w:themeColor="text1" w:themeTint="BF"/>
    </w:rPr>
  </w:style>
  <w:style w:type="paragraph" w:styleId="Paragraphedeliste">
    <w:name w:val="List Paragraph"/>
    <w:basedOn w:val="Normal"/>
    <w:uiPriority w:val="34"/>
    <w:qFormat/>
    <w:rsid w:val="00474240"/>
    <w:pPr>
      <w:ind w:left="720"/>
      <w:contextualSpacing/>
    </w:pPr>
  </w:style>
  <w:style w:type="character" w:styleId="Accentuationintense">
    <w:name w:val="Intense Emphasis"/>
    <w:basedOn w:val="Policepardfaut"/>
    <w:uiPriority w:val="21"/>
    <w:qFormat/>
    <w:rsid w:val="00474240"/>
    <w:rPr>
      <w:i/>
      <w:iCs/>
      <w:color w:val="2F5496" w:themeColor="accent1" w:themeShade="BF"/>
    </w:rPr>
  </w:style>
  <w:style w:type="paragraph" w:styleId="Citationintense">
    <w:name w:val="Intense Quote"/>
    <w:basedOn w:val="Normal"/>
    <w:next w:val="Normal"/>
    <w:link w:val="CitationintenseCar"/>
    <w:uiPriority w:val="30"/>
    <w:qFormat/>
    <w:rsid w:val="004742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4240"/>
    <w:rPr>
      <w:i/>
      <w:iCs/>
      <w:color w:val="2F5496" w:themeColor="accent1" w:themeShade="BF"/>
    </w:rPr>
  </w:style>
  <w:style w:type="character" w:styleId="Rfrenceintense">
    <w:name w:val="Intense Reference"/>
    <w:basedOn w:val="Policepardfaut"/>
    <w:uiPriority w:val="32"/>
    <w:qFormat/>
    <w:rsid w:val="00474240"/>
    <w:rPr>
      <w:b/>
      <w:bCs/>
      <w:smallCaps/>
      <w:color w:val="2F5496" w:themeColor="accent1" w:themeShade="BF"/>
      <w:spacing w:val="5"/>
    </w:rPr>
  </w:style>
  <w:style w:type="paragraph" w:styleId="En-tte">
    <w:name w:val="header"/>
    <w:basedOn w:val="Normal"/>
    <w:link w:val="En-tteCar"/>
    <w:uiPriority w:val="99"/>
    <w:unhideWhenUsed/>
    <w:rsid w:val="00F102BA"/>
    <w:pPr>
      <w:tabs>
        <w:tab w:val="center" w:pos="4536"/>
        <w:tab w:val="right" w:pos="9072"/>
      </w:tabs>
      <w:spacing w:after="0" w:line="240" w:lineRule="auto"/>
    </w:pPr>
  </w:style>
  <w:style w:type="character" w:customStyle="1" w:styleId="En-tteCar">
    <w:name w:val="En-tête Car"/>
    <w:basedOn w:val="Policepardfaut"/>
    <w:link w:val="En-tte"/>
    <w:uiPriority w:val="99"/>
    <w:rsid w:val="00F102BA"/>
  </w:style>
  <w:style w:type="paragraph" w:styleId="Pieddepage">
    <w:name w:val="footer"/>
    <w:basedOn w:val="Normal"/>
    <w:link w:val="PieddepageCar"/>
    <w:uiPriority w:val="99"/>
    <w:unhideWhenUsed/>
    <w:rsid w:val="00F102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02BA"/>
  </w:style>
  <w:style w:type="paragraph" w:customStyle="1" w:styleId="font-claude-response-body">
    <w:name w:val="font-claude-response-body"/>
    <w:basedOn w:val="Normal"/>
    <w:rsid w:val="00123C8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23C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C18EC-624D-4E6A-BDC1-ED2FA3F13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1796</TotalTime>
  <Pages>5</Pages>
  <Words>987</Words>
  <Characters>5431</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BOURRAI</dc:creator>
  <cp:keywords/>
  <dc:description/>
  <cp:lastModifiedBy>Melissa BOURRAI</cp:lastModifiedBy>
  <cp:revision>3</cp:revision>
  <cp:lastPrinted>2026-06-08T17:47:00Z</cp:lastPrinted>
  <dcterms:created xsi:type="dcterms:W3CDTF">2026-06-07T15:34:00Z</dcterms:created>
  <dcterms:modified xsi:type="dcterms:W3CDTF">2026-06-09T11:13:00Z</dcterms:modified>
</cp:coreProperties>
</file>