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pPr>
      <w:r>
        <w:rPr>
          <w:b/>
          <w:bCs/>
          <w:color w:val="1F6F63"/>
          <w:spacing w:val="40"/>
          <w:sz w:val="20"/>
          <w:szCs w:val="20"/>
        </w:rPr>
        <w:t xml:space="preserve">INTERNE ARBEITSGRUNDLAGE</w:t>
      </w:r>
    </w:p>
    <w:p>
      <w:pPr>
        <w:spacing w:after="240"/>
      </w:pPr>
      <w:r>
        <w:rPr>
          <w:rFonts w:ascii="Cambria" w:cs="Cambria" w:eastAsia="Cambria" w:hAnsi="Cambria"/>
          <w:b/>
          <w:bCs/>
          <w:color w:val="13233A"/>
          <w:sz w:val="56"/>
          <w:szCs w:val="56"/>
        </w:rPr>
        <w:t xml:space="preserve">EmpCo in bestehenden GRC-Strukturen</w:t>
      </w:r>
    </w:p>
    <w:p>
      <w:pPr>
        <w:pBdr>
          <w:bottom w:val="single" w:color="1F6F63" w:sz="8" w:space="12"/>
        </w:pBdr>
        <w:spacing w:after="480"/>
      </w:pPr>
      <w:r>
        <w:rPr>
          <w:color w:val="1F2933"/>
          <w:sz w:val="28"/>
          <w:szCs w:val="28"/>
        </w:rPr>
        <w:t xml:space="preserve">Was Compliance-Management-System, Risikomanagementsystem und internes Kontrollsystem aufgrund der Richtlinie (EU) 2024/825 tatsächlich neu aufnehmen oder anpassen müssen – und wie die Integration effizient gelingt</w:t>
      </w:r>
    </w:p>
    <w:p>
      <w:pPr>
        <w:spacing w:after="80"/>
      </w:pPr>
      <w:r>
        <w:rPr>
          <w:b/>
          <w:bCs/>
          <w:color w:val="13233A"/>
          <w:sz w:val="20"/>
          <w:szCs w:val="20"/>
        </w:rPr>
        <w:t xml:space="preserve">Stand: </w:t>
      </w:r>
      <w:r>
        <w:rPr>
          <w:color w:val="1F2933"/>
          <w:sz w:val="20"/>
          <w:szCs w:val="20"/>
        </w:rPr>
        <w:t xml:space="preserve">29.09.2026 · Entwurf v1.0</w:t>
      </w:r>
    </w:p>
    <w:p>
      <w:pPr>
        <w:spacing w:after="80"/>
      </w:pPr>
      <w:r>
        <w:rPr>
          <w:b/>
          <w:bCs/>
          <w:color w:val="13233A"/>
          <w:sz w:val="20"/>
          <w:szCs w:val="20"/>
        </w:rPr>
        <w:t xml:space="preserve">Rechtsrahmen: </w:t>
      </w:r>
      <w:r>
        <w:rPr>
          <w:color w:val="1F2933"/>
          <w:sz w:val="20"/>
          <w:szCs w:val="20"/>
        </w:rPr>
        <w:t xml:space="preserve">EU (UGP-Richtlinie, Verbraucherrechte-Richtlinie) und Deutschland (UWG n. F., BGB/EGBGB); B2B nur mittelbar</w:t>
      </w:r>
    </w:p>
    <w:p>
      <w:pPr>
        <w:spacing w:after="80"/>
      </w:pPr>
      <w:r>
        <w:rPr>
          <w:b/>
          <w:bCs/>
          <w:color w:val="13233A"/>
          <w:sz w:val="20"/>
          <w:szCs w:val="20"/>
        </w:rPr>
        <w:t xml:space="preserve">Referenzrahmen: </w:t>
      </w:r>
      <w:r>
        <w:rPr>
          <w:color w:val="1F2933"/>
          <w:sz w:val="20"/>
          <w:szCs w:val="20"/>
        </w:rPr>
        <w:t xml:space="preserve">IDW PS 980, 981, 982 · ISO 37301, ISO 31000 · COSO ERM, COSO Internal Control</w:t>
      </w:r>
    </w:p>
    <w:p>
      <w:pPr>
        <w:spacing w:after="80"/>
      </w:pPr>
      <w:r>
        <w:rPr>
          <w:b/>
          <w:bCs/>
          <w:color w:val="13233A"/>
          <w:sz w:val="20"/>
          <w:szCs w:val="20"/>
        </w:rPr>
        <w:t xml:space="preserve">Bezug: </w:t>
      </w:r>
      <w:r>
        <w:rPr>
          <w:color w:val="1F2933"/>
          <w:sz w:val="20"/>
          <w:szCs w:val="20"/>
        </w:rPr>
        <w:t xml:space="preserve">Research-Basis „EmpCo und UWG-Novelle aus Governance- und Compliance-Sicht“ vom 28.09.2026, zitiert als „RB Kap. x“</w:t>
      </w:r>
    </w:p>
    <w:p>
      <w:pPr>
        <w:spacing w:after="80"/>
      </w:pPr>
      <w:r>
        <w:rPr>
          <w:b/>
          <w:bCs/>
          <w:color w:val="13233A"/>
          <w:sz w:val="20"/>
          <w:szCs w:val="20"/>
        </w:rPr>
        <w:t xml:space="preserve">Klassifizierung: </w:t>
      </w:r>
      <w:r>
        <w:rPr>
          <w:color w:val="1F2933"/>
          <w:sz w:val="20"/>
          <w:szCs w:val="20"/>
        </w:rPr>
        <w:t xml:space="preserve">intern · keine Rechtsberatung</w:t>
      </w:r>
    </w:p>
    <w:p>
      <w:pPr>
        <w:spacing w:before="1200"/>
      </w:pPr>
    </w:p>
    <w:p>
      <w:pPr>
        <w:spacing w:after="120" w:before="0" w:line="276"/>
      </w:pPr>
      <w:r>
        <w:rPr>
          <w:color w:val="5E6B78"/>
          <w:sz w:val="18"/>
          <w:szCs w:val="18"/>
        </w:rPr>
        <w:t xml:space="preserve">Normzitate beruhen teilweise auf Sekundärquellen, weil die Primärtexte in der Arbeitsumgebung nicht abrufbar waren. Vor externer Verwendung am Originaltext prüfen (siehe Lesehinweise und Kapitel 16).</w:t>
      </w:r>
    </w:p>
    <w:p>
      <w:pPr>
        <w:pStyle w:val="Heading1"/>
        <w:keepNext/>
        <w:pageBreakBefore/>
      </w:pPr>
      <w:r>
        <w:t xml:space="preserve">Lesehinweise</w:t>
      </w:r>
    </w:p>
    <w:p>
      <w:pPr>
        <w:spacing w:after="120" w:before="0" w:line="276"/>
      </w:pPr>
      <w:r>
        <w:t xml:space="preserve">Dieses Dokument beantwortet eine Frage: </w:t>
      </w:r>
      <w:r>
        <w:rPr>
          <w:b/>
          <w:bCs/>
        </w:rPr>
        <w:t xml:space="preserve">Was muss ein Unternehmen aufgrund von EmpCo in seinem bestehenden Compliance-Management-System (CMS), Risikomanagementsystem (RMS) und internen Kontrollsystem (IKS) tatsächlich neu aufnehmen oder anpassen – und wie lässt sich EmpCo möglichst effizient in bestehende GRC-Strukturen integrieren?</w:t>
      </w:r>
      <w:r>
        <w:t xml:space="preserve"> Ein eigenes EmpCo-Managementsystem wird dabei nicht unterstellt.</w:t>
      </w:r>
    </w:p>
    <w:p>
      <w:pPr>
        <w:pStyle w:val="Heading3"/>
        <w:keepNext/>
      </w:pPr>
      <w:r>
        <w:t xml:space="preserve">Kennzeichnung der Verbindlichkeit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1734"/>
        <w:gridCol w:w="4819"/>
        <w:gridCol w:w="3085"/>
      </w:tblGrid>
      <w:tr>
        <w:trPr>
          <w:cantSplit/>
          <w:tblHeader/>
        </w:trPr>
        <w:tc>
          <w:tcPr>
            <w:tcW w:type="dxa" w:w="1734"/>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Kennzeichen</w:t>
            </w:r>
          </w:p>
        </w:tc>
        <w:tc>
          <w:tcPr>
            <w:tcW w:type="dxa" w:w="4819"/>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Bedeutung</w:t>
            </w:r>
          </w:p>
        </w:tc>
        <w:tc>
          <w:tcPr>
            <w:tcW w:type="dxa" w:w="3085"/>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Beispiel</w:t>
            </w:r>
          </w:p>
        </w:tc>
      </w:tr>
      <w:tr>
        <w:trPr>
          <w:cantSplit/>
        </w:trPr>
        <w:tc>
          <w:tcPr>
            <w:tcW w:type="dxa" w:w="1734"/>
            <w:tcMar>
              <w:top w:type="dxa" w:w="50"/>
              <w:left w:type="dxa" w:w="90"/>
              <w:bottom w:type="dxa" w:w="50"/>
              <w:right w:type="dxa" w:w="90"/>
            </w:tcMar>
            <w:vAlign w:val="top"/>
          </w:tcPr>
          <w:p>
            <w:pPr>
              <w:spacing w:after="30" w:before="0" w:line="252"/>
            </w:pPr>
            <w:r>
              <w:rPr>
                <w:b/>
                <w:bCs/>
                <w:color w:val="B04A16"/>
                <w:sz w:val="16"/>
                <w:szCs w:val="16"/>
              </w:rPr>
              <w:t xml:space="preserve">[Pflicht]</w:t>
            </w:r>
          </w:p>
        </w:tc>
        <w:tc>
          <w:tcPr>
            <w:tcW w:type="dxa" w:w="4819"/>
            <w:tcMar>
              <w:top w:type="dxa" w:w="50"/>
              <w:left w:type="dxa" w:w="90"/>
              <w:bottom w:type="dxa" w:w="50"/>
              <w:right w:type="dxa" w:w="90"/>
            </w:tcMar>
            <w:vAlign w:val="top"/>
          </w:tcPr>
          <w:p>
            <w:pPr>
              <w:spacing w:after="30" w:before="0" w:line="252"/>
            </w:pPr>
            <w:r>
              <w:rPr>
                <w:sz w:val="18"/>
                <w:szCs w:val="18"/>
              </w:rPr>
              <w:t xml:space="preserve">Rechtlich verpflichtend. Ergibt sich unmittelbar aus einer Norm, vor allem aus EmpCo und ihrer deutschen Umsetzung. Die Norm schreibt meist das Ergebnis vor, nicht das organisatorische Mittel. „(bedingt)“ heißt: nur, wenn das Unternehmen die betreffende Aussage nutzt oder die Voraussetzung erfüllt.</w:t>
            </w:r>
          </w:p>
        </w:tc>
        <w:tc>
          <w:tcPr>
            <w:tcW w:type="dxa" w:w="3085"/>
            <w:tcMar>
              <w:top w:type="dxa" w:w="50"/>
              <w:left w:type="dxa" w:w="90"/>
              <w:bottom w:type="dxa" w:w="50"/>
              <w:right w:type="dxa" w:w="90"/>
            </w:tcMar>
            <w:vAlign w:val="top"/>
          </w:tcPr>
          <w:p>
            <w:pPr>
              <w:spacing w:after="30" w:before="0" w:line="252"/>
            </w:pPr>
            <w:r>
              <w:rPr>
                <w:sz w:val="18"/>
                <w:szCs w:val="18"/>
              </w:rPr>
              <w:t xml:space="preserve">Keine allgemeine Umwelt­aussage ohne anerkannte hervorragende Umweltleistung (Anhang Nr. 4a UWG)</w:t>
            </w:r>
          </w:p>
        </w:tc>
      </w:tr>
      <w:tr>
        <w:trPr>
          <w:cantSplit/>
        </w:trPr>
        <w:tc>
          <w:tcPr>
            <w:tcW w:type="dxa" w:w="1734"/>
            <w:shd w:fill="F3F5F7" w:color="auto" w:val="clear"/>
            <w:tcMar>
              <w:top w:type="dxa" w:w="50"/>
              <w:left w:type="dxa" w:w="90"/>
              <w:bottom w:type="dxa" w:w="50"/>
              <w:right w:type="dxa" w:w="90"/>
            </w:tcMar>
            <w:vAlign w:val="top"/>
          </w:tcPr>
          <w:p>
            <w:pPr>
              <w:spacing w:after="30" w:before="0" w:line="252"/>
            </w:pPr>
            <w:r>
              <w:rPr>
                <w:b/>
                <w:bCs/>
                <w:color w:val="1F6F63"/>
                <w:sz w:val="16"/>
                <w:szCs w:val="16"/>
              </w:rPr>
              <w:t xml:space="preserve">[Organisation]</w:t>
            </w:r>
          </w:p>
        </w:tc>
        <w:tc>
          <w:tcPr>
            <w:tcW w:type="dxa" w:w="4819"/>
            <w:shd w:fill="F3F5F7" w:color="auto" w:val="clear"/>
            <w:tcMar>
              <w:top w:type="dxa" w:w="50"/>
              <w:left w:type="dxa" w:w="90"/>
              <w:bottom w:type="dxa" w:w="50"/>
              <w:right w:type="dxa" w:w="90"/>
            </w:tcMar>
            <w:vAlign w:val="top"/>
          </w:tcPr>
          <w:p>
            <w:pPr>
              <w:spacing w:after="30" w:before="0" w:line="252"/>
            </w:pPr>
            <w:r>
              <w:rPr>
                <w:sz w:val="18"/>
                <w:szCs w:val="18"/>
              </w:rPr>
              <w:t xml:space="preserve">Sinnvolle organisatorische Maßnahme. Nicht ausdrücklich vorgeschrieben, aber nötig, um die Pflichten verlässlich zu erfüllen und die allgemeine Organisations­pflicht der Geschäfts­leitung zu wahren (Kapitel 3).</w:t>
            </w:r>
          </w:p>
        </w:tc>
        <w:tc>
          <w:tcPr>
            <w:tcW w:type="dxa" w:w="3085"/>
            <w:shd w:fill="F3F5F7" w:color="auto" w:val="clear"/>
            <w:tcMar>
              <w:top w:type="dxa" w:w="50"/>
              <w:left w:type="dxa" w:w="90"/>
              <w:bottom w:type="dxa" w:w="50"/>
              <w:right w:type="dxa" w:w="90"/>
            </w:tcMar>
            <w:vAlign w:val="top"/>
          </w:tcPr>
          <w:p>
            <w:pPr>
              <w:spacing w:after="30" w:before="0" w:line="252"/>
            </w:pPr>
            <w:r>
              <w:rPr>
                <w:sz w:val="18"/>
                <w:szCs w:val="18"/>
              </w:rPr>
              <w:t xml:space="preserve">Freigabeschritt vor Veröffentlichung, Claim-Register</w:t>
            </w:r>
          </w:p>
        </w:tc>
      </w:tr>
      <w:tr>
        <w:trPr>
          <w:cantSplit/>
        </w:trPr>
        <w:tc>
          <w:tcPr>
            <w:tcW w:type="dxa" w:w="1734"/>
            <w:tcMar>
              <w:top w:type="dxa" w:w="50"/>
              <w:left w:type="dxa" w:w="90"/>
              <w:bottom w:type="dxa" w:w="50"/>
              <w:right w:type="dxa" w:w="90"/>
            </w:tcMar>
            <w:vAlign w:val="top"/>
          </w:tcPr>
          <w:p>
            <w:pPr>
              <w:spacing w:after="30" w:before="0" w:line="252"/>
            </w:pPr>
            <w:r>
              <w:rPr>
                <w:b/>
                <w:bCs/>
                <w:color w:val="5B4B8A"/>
                <w:sz w:val="16"/>
                <w:szCs w:val="16"/>
              </w:rPr>
              <w:t xml:space="preserve">[Best Practice]</w:t>
            </w:r>
          </w:p>
        </w:tc>
        <w:tc>
          <w:tcPr>
            <w:tcW w:type="dxa" w:w="4819"/>
            <w:tcMar>
              <w:top w:type="dxa" w:w="50"/>
              <w:left w:type="dxa" w:w="90"/>
              <w:bottom w:type="dxa" w:w="50"/>
              <w:right w:type="dxa" w:w="90"/>
            </w:tcMar>
            <w:vAlign w:val="top"/>
          </w:tcPr>
          <w:p>
            <w:pPr>
              <w:spacing w:after="30" w:before="0" w:line="252"/>
            </w:pPr>
            <w:r>
              <w:rPr>
                <w:sz w:val="18"/>
                <w:szCs w:val="18"/>
              </w:rPr>
              <w:t xml:space="preserve">Best Practice. Geht über das Notwendige hinaus; sinnvoll bei hoher Claim-Exposition, vielen Kanälen oder höherem Reifegrad.</w:t>
            </w:r>
          </w:p>
        </w:tc>
        <w:tc>
          <w:tcPr>
            <w:tcW w:type="dxa" w:w="3085"/>
            <w:tcMar>
              <w:top w:type="dxa" w:w="50"/>
              <w:left w:type="dxa" w:w="90"/>
              <w:bottom w:type="dxa" w:w="50"/>
              <w:right w:type="dxa" w:w="90"/>
            </w:tcMar>
            <w:vAlign w:val="top"/>
          </w:tcPr>
          <w:p>
            <w:pPr>
              <w:spacing w:after="30" w:before="0" w:line="252"/>
            </w:pPr>
            <w:r>
              <w:rPr>
                <w:sz w:val="18"/>
                <w:szCs w:val="18"/>
              </w:rPr>
              <w:t xml:space="preserve">Zielwert „Evidenz in ≤ 48 Stunden abrufbar“, automatisiertes Kanal-Screening</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F6F63" w:sz="24"/>
              <w:bottom w:val="none" w:color="FFFFFF" w:sz="0"/>
              <w:right w:val="none" w:color="FFFFFF" w:sz="0"/>
            </w:tcBorders>
            <w:shd w:fill="E4F1EE" w:color="auto" w:val="clear"/>
            <w:tcMar>
              <w:top w:type="dxa" w:w="140"/>
              <w:left w:type="dxa" w:w="220"/>
              <w:bottom w:type="dxa" w:w="140"/>
              <w:right w:type="dxa" w:w="220"/>
            </w:tcMar>
          </w:tcPr>
          <w:p>
            <w:pPr>
              <w:keepNext/>
              <w:spacing w:after="60"/>
            </w:pPr>
            <w:r>
              <w:rPr>
                <w:b/>
                <w:bCs/>
                <w:color w:val="1F6F63"/>
              </w:rPr>
              <w:t xml:space="preserve">Vorbemerkung: EmpCo enthält keine Managementsystem-Pflicht</w:t>
            </w:r>
          </w:p>
          <w:p>
            <w:pPr>
              <w:spacing w:after="80" w:before="0" w:line="276"/>
            </w:pPr>
            <w:r>
              <w:t xml:space="preserve">EmpCo ist materielles Lauterkeits- und Verbrauchervertragsrecht. Die Richtlinie regelt, welche Aussagen gegenüber Verbrauchern zulässig sind und welche Informationen zu geben sind. Sie verpflichtet nicht dazu, ein CMS, RMS oder IKS einzurichten, anzupassen, zu zertifizieren oder prüfen zu lassen </w:t>
            </w:r>
            <w:r>
              <w:rPr>
                <w:color w:val="5E6B78"/>
                <w:sz w:val="18"/>
                <w:szCs w:val="18"/>
              </w:rPr>
              <w:t xml:space="preserve">[R1][I1]</w:t>
            </w:r>
            <w:r>
              <w:t xml:space="preserve">.</w:t>
            </w:r>
          </w:p>
          <w:p>
            <w:pPr>
              <w:spacing w:after="80" w:before="0" w:line="276"/>
            </w:pPr>
            <w:r>
              <w:t xml:space="preserve">Organisatorische Elemente enthält sie nur an zwei Stellen, jeweils als Voraussetzung einer bestimmten Aussage: (1) Zukunftsaussagen zur Umweltleistung brauchen einen detaillierten, realistischen Umsetzungsplan, den ein unabhängiger externer Sachverständiger regelmäßig prüft. (2) Nachhaltigkeitssiegel brauchen ein Zertifizierungssystem mit Drittüberwachung oder eine staatliche Festsetzung </w:t>
            </w:r>
            <w:r>
              <w:rPr>
                <w:color w:val="5E6B78"/>
                <w:sz w:val="18"/>
                <w:szCs w:val="18"/>
              </w:rPr>
              <w:t xml:space="preserve">[R1][R4]</w:t>
            </w:r>
            <w:r>
              <w:t xml:space="preserve">.</w:t>
            </w:r>
          </w:p>
          <w:p>
            <w:pPr>
              <w:spacing w:after="0" w:before="0" w:line="276"/>
            </w:pPr>
            <w:r>
              <w:t xml:space="preserve">Alle weiteren Maßnahmen in diesem Dokument folgen aus der allgemeinen Organisationspflicht der Geschäftsleitung (Kapitel 3). Sie sind deshalb als </w:t>
            </w:r>
            <w:r>
              <w:rPr>
                <w:b/>
                <w:bCs/>
                <w:color w:val="1F6F63"/>
                <w:sz w:val="19"/>
                <w:szCs w:val="19"/>
              </w:rPr>
              <w:t xml:space="preserve">[Organisation]</w:t>
            </w:r>
            <w:r>
              <w:t xml:space="preserve"> oder </w:t>
            </w:r>
            <w:r>
              <w:rPr>
                <w:b/>
                <w:bCs/>
                <w:color w:val="5B4B8A"/>
                <w:sz w:val="19"/>
                <w:szCs w:val="19"/>
              </w:rPr>
              <w:t xml:space="preserve">[Best Practice]</w:t>
            </w:r>
            <w:r>
              <w:t xml:space="preserve"> gekennzeichnet, nicht als </w:t>
            </w:r>
            <w:r>
              <w:rPr>
                <w:b/>
                <w:bCs/>
                <w:color w:val="B04A16"/>
                <w:sz w:val="19"/>
                <w:szCs w:val="19"/>
              </w:rPr>
              <w:t xml:space="preserve">[Pflicht]</w:t>
            </w:r>
            <w:r>
              <w:t xml:space="preserve">.</w:t>
            </w:r>
          </w:p>
        </w:tc>
      </w:tr>
    </w:tbl>
    <w:p>
      <w:pPr>
        <w:spacing w:after="120"/>
      </w:pPr>
    </w:p>
    <w:p>
      <w:pPr>
        <w:pStyle w:val="Heading3"/>
        <w:keepNext/>
      </w:pPr>
      <w:r>
        <w:t xml:space="preserve">Quellen und Zitierweise</w:t>
      </w:r>
    </w:p>
    <w:p>
      <w:pPr>
        <w:pStyle w:val="ListParagraph"/>
        <w:numPr>
          <w:ilvl w:val="0"/>
          <w:numId w:val="2"/>
        </w:numPr>
        <w:spacing w:after="60" w:before="0" w:line="276"/>
      </w:pPr>
      <w:r>
        <w:t xml:space="preserve">Quellenverweise stehen in eckigen Klammern: </w:t>
      </w:r>
      <w:r>
        <w:rPr>
          <w:b/>
          <w:bCs/>
        </w:rPr>
        <w:t xml:space="preserve">R</w:t>
      </w:r>
      <w:r>
        <w:t xml:space="preserve"> = Rechtsquellen (Rechtsakte, Gesetzesmaterialien, Rechtsprechung), </w:t>
      </w:r>
      <w:r>
        <w:rPr>
          <w:b/>
          <w:bCs/>
        </w:rPr>
        <w:t xml:space="preserve">B</w:t>
      </w:r>
      <w:r>
        <w:t xml:space="preserve"> = Behörden und offizielle Leitlinien, </w:t>
      </w:r>
      <w:r>
        <w:rPr>
          <w:b/>
          <w:bCs/>
        </w:rPr>
        <w:t xml:space="preserve">S</w:t>
      </w:r>
      <w:r>
        <w:t xml:space="preserve"> = Standards, </w:t>
      </w:r>
      <w:r>
        <w:rPr>
          <w:b/>
          <w:bCs/>
        </w:rPr>
        <w:t xml:space="preserve">L</w:t>
      </w:r>
      <w:r>
        <w:t xml:space="preserve"> = Literatur und Praxisveröffentlichungen, </w:t>
      </w:r>
      <w:r>
        <w:rPr>
          <w:b/>
          <w:bCs/>
        </w:rPr>
        <w:t xml:space="preserve">I</w:t>
      </w:r>
      <w:r>
        <w:t xml:space="preserve"> = interne Grundlagen. Das Verzeichnis mit Validierungsstatus steht in Anhang A.</w:t>
      </w:r>
    </w:p>
    <w:p>
      <w:pPr>
        <w:pStyle w:val="ListParagraph"/>
        <w:numPr>
          <w:ilvl w:val="0"/>
          <w:numId w:val="2"/>
        </w:numPr>
        <w:spacing w:after="60" w:before="0" w:line="276"/>
      </w:pPr>
      <w:r>
        <w:t xml:space="preserve">Verweise „RB Kap. x“ beziehen sich auf die Research-Basis vom 28.09.2026 </w:t>
      </w:r>
      <w:r>
        <w:rPr>
          <w:color w:val="5E6B78"/>
          <w:sz w:val="18"/>
          <w:szCs w:val="18"/>
        </w:rPr>
        <w:t xml:space="preserve">[I1]</w:t>
      </w:r>
      <w:r>
        <w:t xml:space="preserve">. Die Zuordnung zu den Kapiteln dieses Dokuments zeigt Anhang B.</w:t>
      </w:r>
    </w:p>
    <w:p>
      <w:pPr>
        <w:pStyle w:val="ListParagraph"/>
        <w:numPr>
          <w:ilvl w:val="0"/>
          <w:numId w:val="2"/>
        </w:numPr>
        <w:spacing w:after="60" w:before="0" w:line="276"/>
      </w:pPr>
      <w:r>
        <w:t xml:space="preserve">Die Rangfolge der Quellen folgt dem Auftrag: zuerst Primärrecht (EmpCo, UGP-Richtlinie, Verbraucherrechte-Richtlinie, UWG, EGBGB), dann Kommission und deutsche Stellen, dann Standards, dann Fachliteratur und Veröffentlichungen von Prüfungs- und Beratungsgesellschaften.</w:t>
      </w:r>
    </w:p>
    <w:p>
      <w:pPr>
        <w:pStyle w:val="ListParagraph"/>
        <w:numPr>
          <w:ilvl w:val="0"/>
          <w:numId w:val="2"/>
        </w:numPr>
        <w:spacing w:after="60" w:before="0" w:line="276"/>
      </w:pPr>
      <w:r>
        <w:rPr>
          <w:b/>
          <w:bCs/>
        </w:rPr>
        <w:t xml:space="preserve">Quellenlage:</w:t>
      </w:r>
      <w:r>
        <w:t xml:space="preserve"> EUR-Lex, BGBl., Bundestags-Drucksachen und gesetze-im-internet.de waren in der Arbeitsumgebung gesperrt. Normaussagen beruhen auf dem bekannten Richtlinientext und dem Abgleich mehrerer übereinstimmender Sekundärquellen; einzelne Punkte wurden am 29.09.2026 per Websuche erneut geprüft. IDW-, ISO- und COSO-Standards sind kostenpflichtig; ihre Struktur ist nach öffentlich zugänglichen Beschreibungen wiedergegeben.</w:t>
      </w:r>
    </w:p>
    <w:p>
      <w:pPr>
        <w:spacing w:after="40"/>
      </w:pPr>
    </w:p>
    <w:p>
      <w:pPr>
        <w:pStyle w:val="Heading3"/>
        <w:keepNext/>
      </w:pPr>
      <w:r>
        <w:t xml:space="preserve">Inhalt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771"/>
        <w:gridCol w:w="4047"/>
        <w:gridCol w:w="4820"/>
      </w:tblGrid>
      <w:tr>
        <w:trPr>
          <w:cantSplit/>
          <w:tblHeader/>
        </w:trPr>
        <w:tc>
          <w:tcPr>
            <w:tcW w:type="dxa" w:w="771"/>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Kap.</w:t>
            </w:r>
          </w:p>
        </w:tc>
        <w:tc>
          <w:tcPr>
            <w:tcW w:type="dxa" w:w="4047"/>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Titel</w:t>
            </w:r>
          </w:p>
        </w:tc>
        <w:tc>
          <w:tcPr>
            <w:tcW w:type="dxa" w:w="4820"/>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Kernfrage</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1</w:t>
            </w:r>
          </w:p>
        </w:tc>
        <w:tc>
          <w:tcPr>
            <w:tcW w:type="dxa" w:w="4047"/>
            <w:tcMar>
              <w:top w:type="dxa" w:w="50"/>
              <w:left w:type="dxa" w:w="90"/>
              <w:bottom w:type="dxa" w:w="50"/>
              <w:right w:type="dxa" w:w="90"/>
            </w:tcMar>
            <w:vAlign w:val="top"/>
          </w:tcPr>
          <w:p>
            <w:pPr>
              <w:spacing w:after="30" w:before="0" w:line="252"/>
            </w:pPr>
            <w:r>
              <w:rPr>
                <w:sz w:val="18"/>
                <w:szCs w:val="18"/>
              </w:rPr>
              <w:t xml:space="preserve">Kurzantwort</w:t>
            </w:r>
          </w:p>
        </w:tc>
        <w:tc>
          <w:tcPr>
            <w:tcW w:type="dxa" w:w="4820"/>
            <w:tcMar>
              <w:top w:type="dxa" w:w="50"/>
              <w:left w:type="dxa" w:w="90"/>
              <w:bottom w:type="dxa" w:w="50"/>
              <w:right w:type="dxa" w:w="90"/>
            </w:tcMar>
            <w:vAlign w:val="top"/>
          </w:tcPr>
          <w:p>
            <w:pPr>
              <w:spacing w:after="30" w:before="0" w:line="252"/>
            </w:pPr>
            <w:r>
              <w:rPr>
                <w:sz w:val="18"/>
                <w:szCs w:val="18"/>
              </w:rPr>
              <w:t xml:space="preserve">Was ist wirklich neu, was ist anzupassen?</w:t>
            </w:r>
          </w:p>
        </w:tc>
      </w:tr>
      <w:tr>
        <w:trPr>
          <w:cantSplit/>
        </w:trPr>
        <w:tc>
          <w:tcPr>
            <w:tcW w:type="dxa" w:w="771"/>
            <w:shd w:fill="F3F5F7" w:color="auto" w:val="clear"/>
            <w:tcMar>
              <w:top w:type="dxa" w:w="50"/>
              <w:left w:type="dxa" w:w="90"/>
              <w:bottom w:type="dxa" w:w="50"/>
              <w:right w:type="dxa" w:w="90"/>
            </w:tcMar>
            <w:vAlign w:val="top"/>
          </w:tcPr>
          <w:p>
            <w:pPr>
              <w:spacing w:after="30" w:before="0" w:line="252"/>
            </w:pPr>
            <w:r>
              <w:rPr>
                <w:sz w:val="18"/>
                <w:szCs w:val="18"/>
              </w:rPr>
              <w:t xml:space="preserve">2</w:t>
            </w:r>
          </w:p>
        </w:tc>
        <w:tc>
          <w:tcPr>
            <w:tcW w:type="dxa" w:w="4047"/>
            <w:shd w:fill="F3F5F7" w:color="auto" w:val="clear"/>
            <w:tcMar>
              <w:top w:type="dxa" w:w="50"/>
              <w:left w:type="dxa" w:w="90"/>
              <w:bottom w:type="dxa" w:w="50"/>
              <w:right w:type="dxa" w:w="90"/>
            </w:tcMar>
            <w:vAlign w:val="top"/>
          </w:tcPr>
          <w:p>
            <w:pPr>
              <w:spacing w:after="30" w:before="0" w:line="252"/>
            </w:pPr>
            <w:r>
              <w:rPr>
                <w:sz w:val="18"/>
                <w:szCs w:val="18"/>
              </w:rPr>
              <w:t xml:space="preserve">Was EmpCo rechtlich verlangt</w:t>
            </w:r>
          </w:p>
        </w:tc>
        <w:tc>
          <w:tcPr>
            <w:tcW w:type="dxa" w:w="4820"/>
            <w:shd w:fill="F3F5F7" w:color="auto" w:val="clear"/>
            <w:tcMar>
              <w:top w:type="dxa" w:w="50"/>
              <w:left w:type="dxa" w:w="90"/>
              <w:bottom w:type="dxa" w:w="50"/>
              <w:right w:type="dxa" w:w="90"/>
            </w:tcMar>
            <w:vAlign w:val="top"/>
          </w:tcPr>
          <w:p>
            <w:pPr>
              <w:spacing w:after="30" w:before="0" w:line="252"/>
            </w:pPr>
            <w:r>
              <w:rPr>
                <w:sz w:val="18"/>
                <w:szCs w:val="18"/>
              </w:rPr>
              <w:t xml:space="preserve">Welche Pflichten A1–A14 bilden den gemeinsamen Referenz­katalog?</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3</w:t>
            </w:r>
          </w:p>
        </w:tc>
        <w:tc>
          <w:tcPr>
            <w:tcW w:type="dxa" w:w="4047"/>
            <w:tcMar>
              <w:top w:type="dxa" w:w="50"/>
              <w:left w:type="dxa" w:w="90"/>
              <w:bottom w:type="dxa" w:w="50"/>
              <w:right w:type="dxa" w:w="90"/>
            </w:tcMar>
            <w:vAlign w:val="top"/>
          </w:tcPr>
          <w:p>
            <w:pPr>
              <w:spacing w:after="30" w:before="0" w:line="252"/>
            </w:pPr>
            <w:r>
              <w:rPr>
                <w:sz w:val="18"/>
                <w:szCs w:val="18"/>
              </w:rPr>
              <w:t xml:space="preserve">Die Organisations­pflicht als Brücke</w:t>
            </w:r>
          </w:p>
        </w:tc>
        <w:tc>
          <w:tcPr>
            <w:tcW w:type="dxa" w:w="4820"/>
            <w:tcMar>
              <w:top w:type="dxa" w:w="50"/>
              <w:left w:type="dxa" w:w="90"/>
              <w:bottom w:type="dxa" w:w="50"/>
              <w:right w:type="dxa" w:w="90"/>
            </w:tcMar>
            <w:vAlign w:val="top"/>
          </w:tcPr>
          <w:p>
            <w:pPr>
              <w:spacing w:after="30" w:before="0" w:line="252"/>
            </w:pPr>
            <w:r>
              <w:rPr>
                <w:sz w:val="18"/>
                <w:szCs w:val="18"/>
              </w:rPr>
              <w:t xml:space="preserve">Woraus folgt überhaupt eine Pflicht, GRC-Systeme anzupassen?</w:t>
            </w:r>
          </w:p>
        </w:tc>
      </w:tr>
      <w:tr>
        <w:trPr>
          <w:cantSplit/>
        </w:trPr>
        <w:tc>
          <w:tcPr>
            <w:tcW w:type="dxa" w:w="771"/>
            <w:shd w:fill="F3F5F7" w:color="auto" w:val="clear"/>
            <w:tcMar>
              <w:top w:type="dxa" w:w="50"/>
              <w:left w:type="dxa" w:w="90"/>
              <w:bottom w:type="dxa" w:w="50"/>
              <w:right w:type="dxa" w:w="90"/>
            </w:tcMar>
            <w:vAlign w:val="top"/>
          </w:tcPr>
          <w:p>
            <w:pPr>
              <w:spacing w:after="30" w:before="0" w:line="252"/>
            </w:pPr>
            <w:r>
              <w:rPr>
                <w:sz w:val="18"/>
                <w:szCs w:val="18"/>
              </w:rPr>
              <w:t xml:space="preserve">4</w:t>
            </w:r>
          </w:p>
        </w:tc>
        <w:tc>
          <w:tcPr>
            <w:tcW w:type="dxa" w:w="4047"/>
            <w:shd w:fill="F3F5F7" w:color="auto" w:val="clear"/>
            <w:tcMar>
              <w:top w:type="dxa" w:w="50"/>
              <w:left w:type="dxa" w:w="90"/>
              <w:bottom w:type="dxa" w:w="50"/>
              <w:right w:type="dxa" w:w="90"/>
            </w:tcMar>
            <w:vAlign w:val="top"/>
          </w:tcPr>
          <w:p>
            <w:pPr>
              <w:spacing w:after="30" w:before="0" w:line="252"/>
            </w:pPr>
            <w:r>
              <w:rPr>
                <w:sz w:val="18"/>
                <w:szCs w:val="18"/>
              </w:rPr>
              <w:t xml:space="preserve">Systemlogik</w:t>
            </w:r>
          </w:p>
        </w:tc>
        <w:tc>
          <w:tcPr>
            <w:tcW w:type="dxa" w:w="4820"/>
            <w:shd w:fill="F3F5F7" w:color="auto" w:val="clear"/>
            <w:tcMar>
              <w:top w:type="dxa" w:w="50"/>
              <w:left w:type="dxa" w:w="90"/>
              <w:bottom w:type="dxa" w:w="50"/>
              <w:right w:type="dxa" w:w="90"/>
            </w:tcMar>
            <w:vAlign w:val="top"/>
          </w:tcPr>
          <w:p>
            <w:pPr>
              <w:spacing w:after="30" w:before="0" w:line="252"/>
            </w:pPr>
            <w:r>
              <w:rPr>
                <w:sz w:val="18"/>
                <w:szCs w:val="18"/>
              </w:rPr>
              <w:t xml:space="preserve">Wie teilen sich RMS, CMS und IKS die Arbeit?</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5</w:t>
            </w:r>
          </w:p>
        </w:tc>
        <w:tc>
          <w:tcPr>
            <w:tcW w:type="dxa" w:w="4047"/>
            <w:tcMar>
              <w:top w:type="dxa" w:w="50"/>
              <w:left w:type="dxa" w:w="90"/>
              <w:bottom w:type="dxa" w:w="50"/>
              <w:right w:type="dxa" w:w="90"/>
            </w:tcMar>
            <w:vAlign w:val="top"/>
          </w:tcPr>
          <w:p>
            <w:pPr>
              <w:spacing w:after="30" w:before="0" w:line="252"/>
            </w:pPr>
            <w:r>
              <w:rPr>
                <w:sz w:val="18"/>
                <w:szCs w:val="18"/>
              </w:rPr>
              <w:t xml:space="preserve">Compliance-Management-System (CMS)</w:t>
            </w:r>
          </w:p>
        </w:tc>
        <w:tc>
          <w:tcPr>
            <w:tcW w:type="dxa" w:w="4820"/>
            <w:tcMar>
              <w:top w:type="dxa" w:w="50"/>
              <w:left w:type="dxa" w:w="90"/>
              <w:bottom w:type="dxa" w:w="50"/>
              <w:right w:type="dxa" w:w="90"/>
            </w:tcMar>
            <w:vAlign w:val="top"/>
          </w:tcPr>
          <w:p>
            <w:pPr>
              <w:spacing w:after="30" w:before="0" w:line="252"/>
            </w:pPr>
            <w:r>
              <w:rPr>
                <w:sz w:val="18"/>
                <w:szCs w:val="18"/>
              </w:rPr>
              <w:t xml:space="preserve">Funktion, neue Anforderungen, neue und anzupassende Elemente, Beispiel, Abgrenzung, Schnittstellen</w:t>
            </w:r>
          </w:p>
        </w:tc>
      </w:tr>
      <w:tr>
        <w:trPr>
          <w:cantSplit/>
        </w:trPr>
        <w:tc>
          <w:tcPr>
            <w:tcW w:type="dxa" w:w="771"/>
            <w:shd w:fill="F3F5F7" w:color="auto" w:val="clear"/>
            <w:tcMar>
              <w:top w:type="dxa" w:w="50"/>
              <w:left w:type="dxa" w:w="90"/>
              <w:bottom w:type="dxa" w:w="50"/>
              <w:right w:type="dxa" w:w="90"/>
            </w:tcMar>
            <w:vAlign w:val="top"/>
          </w:tcPr>
          <w:p>
            <w:pPr>
              <w:spacing w:after="30" w:before="0" w:line="252"/>
            </w:pPr>
            <w:r>
              <w:rPr>
                <w:sz w:val="18"/>
                <w:szCs w:val="18"/>
              </w:rPr>
              <w:t xml:space="preserve">6</w:t>
            </w:r>
          </w:p>
        </w:tc>
        <w:tc>
          <w:tcPr>
            <w:tcW w:type="dxa" w:w="4047"/>
            <w:shd w:fill="F3F5F7" w:color="auto" w:val="clear"/>
            <w:tcMar>
              <w:top w:type="dxa" w:w="50"/>
              <w:left w:type="dxa" w:w="90"/>
              <w:bottom w:type="dxa" w:w="50"/>
              <w:right w:type="dxa" w:w="90"/>
            </w:tcMar>
            <w:vAlign w:val="top"/>
          </w:tcPr>
          <w:p>
            <w:pPr>
              <w:spacing w:after="30" w:before="0" w:line="252"/>
            </w:pPr>
            <w:r>
              <w:rPr>
                <w:sz w:val="18"/>
                <w:szCs w:val="18"/>
              </w:rPr>
              <w:t xml:space="preserve">Risiko­management­system (RMS)</w:t>
            </w:r>
          </w:p>
        </w:tc>
        <w:tc>
          <w:tcPr>
            <w:tcW w:type="dxa" w:w="4820"/>
            <w:shd w:fill="F3F5F7" w:color="auto" w:val="clear"/>
            <w:tcMar>
              <w:top w:type="dxa" w:w="50"/>
              <w:left w:type="dxa" w:w="90"/>
              <w:bottom w:type="dxa" w:w="50"/>
              <w:right w:type="dxa" w:w="90"/>
            </w:tcMar>
            <w:vAlign w:val="top"/>
          </w:tcPr>
          <w:p>
            <w:pPr>
              <w:spacing w:after="30" w:before="0" w:line="252"/>
            </w:pPr>
            <w:r>
              <w:rPr>
                <w:sz w:val="18"/>
                <w:szCs w:val="18"/>
              </w:rPr>
              <w:t xml:space="preserve">wie Kapitel 5</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7</w:t>
            </w:r>
          </w:p>
        </w:tc>
        <w:tc>
          <w:tcPr>
            <w:tcW w:type="dxa" w:w="4047"/>
            <w:tcMar>
              <w:top w:type="dxa" w:w="50"/>
              <w:left w:type="dxa" w:w="90"/>
              <w:bottom w:type="dxa" w:w="50"/>
              <w:right w:type="dxa" w:w="90"/>
            </w:tcMar>
            <w:vAlign w:val="top"/>
          </w:tcPr>
          <w:p>
            <w:pPr>
              <w:spacing w:after="30" w:before="0" w:line="252"/>
            </w:pPr>
            <w:r>
              <w:rPr>
                <w:sz w:val="18"/>
                <w:szCs w:val="18"/>
              </w:rPr>
              <w:t xml:space="preserve">Internes Kontroll­system (IKS)</w:t>
            </w:r>
          </w:p>
        </w:tc>
        <w:tc>
          <w:tcPr>
            <w:tcW w:type="dxa" w:w="4820"/>
            <w:tcMar>
              <w:top w:type="dxa" w:w="50"/>
              <w:left w:type="dxa" w:w="90"/>
              <w:bottom w:type="dxa" w:w="50"/>
              <w:right w:type="dxa" w:w="90"/>
            </w:tcMar>
            <w:vAlign w:val="top"/>
          </w:tcPr>
          <w:p>
            <w:pPr>
              <w:spacing w:after="30" w:before="0" w:line="252"/>
            </w:pPr>
            <w:r>
              <w:rPr>
                <w:sz w:val="18"/>
                <w:szCs w:val="18"/>
              </w:rPr>
              <w:t xml:space="preserve">wie Kapitel 5, mit Risiko-Kontroll-Matrix K1–K12</w:t>
            </w:r>
          </w:p>
        </w:tc>
      </w:tr>
      <w:tr>
        <w:trPr>
          <w:cantSplit/>
        </w:trPr>
        <w:tc>
          <w:tcPr>
            <w:tcW w:type="dxa" w:w="771"/>
            <w:shd w:fill="F3F5F7" w:color="auto" w:val="clear"/>
            <w:tcMar>
              <w:top w:type="dxa" w:w="50"/>
              <w:left w:type="dxa" w:w="90"/>
              <w:bottom w:type="dxa" w:w="50"/>
              <w:right w:type="dxa" w:w="90"/>
            </w:tcMar>
            <w:vAlign w:val="top"/>
          </w:tcPr>
          <w:p>
            <w:pPr>
              <w:spacing w:after="30" w:before="0" w:line="252"/>
            </w:pPr>
            <w:r>
              <w:rPr>
                <w:sz w:val="18"/>
                <w:szCs w:val="18"/>
              </w:rPr>
              <w:t xml:space="preserve">8</w:t>
            </w:r>
          </w:p>
        </w:tc>
        <w:tc>
          <w:tcPr>
            <w:tcW w:type="dxa" w:w="4047"/>
            <w:shd w:fill="F3F5F7" w:color="auto" w:val="clear"/>
            <w:tcMar>
              <w:top w:type="dxa" w:w="50"/>
              <w:left w:type="dxa" w:w="90"/>
              <w:bottom w:type="dxa" w:w="50"/>
              <w:right w:type="dxa" w:w="90"/>
            </w:tcMar>
            <w:vAlign w:val="top"/>
          </w:tcPr>
          <w:p>
            <w:pPr>
              <w:spacing w:after="30" w:before="0" w:line="252"/>
            </w:pPr>
            <w:r>
              <w:rPr>
                <w:sz w:val="18"/>
                <w:szCs w:val="18"/>
              </w:rPr>
              <w:t xml:space="preserve">Kritische Prüfung der Kategorien</w:t>
            </w:r>
          </w:p>
        </w:tc>
        <w:tc>
          <w:tcPr>
            <w:tcW w:type="dxa" w:w="4820"/>
            <w:shd w:fill="F3F5F7" w:color="auto" w:val="clear"/>
            <w:tcMar>
              <w:top w:type="dxa" w:w="50"/>
              <w:left w:type="dxa" w:w="90"/>
              <w:bottom w:type="dxa" w:w="50"/>
              <w:right w:type="dxa" w:w="90"/>
            </w:tcMar>
            <w:vAlign w:val="top"/>
          </w:tcPr>
          <w:p>
            <w:pPr>
              <w:spacing w:after="30" w:before="0" w:line="252"/>
            </w:pPr>
            <w:r>
              <w:rPr>
                <w:sz w:val="18"/>
                <w:szCs w:val="18"/>
              </w:rPr>
              <w:t xml:space="preserve">Braucht es EmpCo-Risk, Green-Claim-Risk, Claim Compliance &amp; Co.?</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9</w:t>
            </w:r>
          </w:p>
        </w:tc>
        <w:tc>
          <w:tcPr>
            <w:tcW w:type="dxa" w:w="4047"/>
            <w:tcMar>
              <w:top w:type="dxa" w:w="50"/>
              <w:left w:type="dxa" w:w="90"/>
              <w:bottom w:type="dxa" w:w="50"/>
              <w:right w:type="dxa" w:w="90"/>
            </w:tcMar>
            <w:vAlign w:val="top"/>
          </w:tcPr>
          <w:p>
            <w:pPr>
              <w:spacing w:after="30" w:before="0" w:line="252"/>
            </w:pPr>
            <w:r>
              <w:rPr>
                <w:sz w:val="18"/>
                <w:szCs w:val="18"/>
              </w:rPr>
              <w:t xml:space="preserve">Neu aufnehmen oder anpassen</w:t>
            </w:r>
          </w:p>
        </w:tc>
        <w:tc>
          <w:tcPr>
            <w:tcW w:type="dxa" w:w="4820"/>
            <w:tcMar>
              <w:top w:type="dxa" w:w="50"/>
              <w:left w:type="dxa" w:w="90"/>
              <w:bottom w:type="dxa" w:w="50"/>
              <w:right w:type="dxa" w:w="90"/>
            </w:tcMar>
            <w:vAlign w:val="top"/>
          </w:tcPr>
          <w:p>
            <w:pPr>
              <w:spacing w:after="30" w:before="0" w:line="252"/>
            </w:pPr>
            <w:r>
              <w:rPr>
                <w:sz w:val="18"/>
                <w:szCs w:val="18"/>
              </w:rPr>
              <w:t xml:space="preserve">Übersicht A und B nach Gestaltungsdimensionen</w:t>
            </w:r>
          </w:p>
        </w:tc>
      </w:tr>
      <w:tr>
        <w:trPr>
          <w:cantSplit/>
        </w:trPr>
        <w:tc>
          <w:tcPr>
            <w:tcW w:type="dxa" w:w="771"/>
            <w:shd w:fill="F3F5F7" w:color="auto" w:val="clear"/>
            <w:tcMar>
              <w:top w:type="dxa" w:w="50"/>
              <w:left w:type="dxa" w:w="90"/>
              <w:bottom w:type="dxa" w:w="50"/>
              <w:right w:type="dxa" w:w="90"/>
            </w:tcMar>
            <w:vAlign w:val="top"/>
          </w:tcPr>
          <w:p>
            <w:pPr>
              <w:spacing w:after="30" w:before="0" w:line="252"/>
            </w:pPr>
            <w:r>
              <w:rPr>
                <w:sz w:val="18"/>
                <w:szCs w:val="18"/>
              </w:rPr>
              <w:t xml:space="preserve">10</w:t>
            </w:r>
          </w:p>
        </w:tc>
        <w:tc>
          <w:tcPr>
            <w:tcW w:type="dxa" w:w="4047"/>
            <w:shd w:fill="F3F5F7" w:color="auto" w:val="clear"/>
            <w:tcMar>
              <w:top w:type="dxa" w:w="50"/>
              <w:left w:type="dxa" w:w="90"/>
              <w:bottom w:type="dxa" w:w="50"/>
              <w:right w:type="dxa" w:w="90"/>
            </w:tcMar>
            <w:vAlign w:val="top"/>
          </w:tcPr>
          <w:p>
            <w:pPr>
              <w:spacing w:after="30" w:before="0" w:line="252"/>
            </w:pPr>
            <w:r>
              <w:rPr>
                <w:sz w:val="18"/>
                <w:szCs w:val="18"/>
              </w:rPr>
              <w:t xml:space="preserve">Durchgängige Beispiele</w:t>
            </w:r>
          </w:p>
        </w:tc>
        <w:tc>
          <w:tcPr>
            <w:tcW w:type="dxa" w:w="4820"/>
            <w:shd w:fill="F3F5F7" w:color="auto" w:val="clear"/>
            <w:tcMar>
              <w:top w:type="dxa" w:w="50"/>
              <w:left w:type="dxa" w:w="90"/>
              <w:bottom w:type="dxa" w:w="50"/>
              <w:right w:type="dxa" w:w="90"/>
            </w:tcMar>
            <w:vAlign w:val="top"/>
          </w:tcPr>
          <w:p>
            <w:pPr>
              <w:spacing w:after="30" w:before="0" w:line="252"/>
            </w:pPr>
            <w:r>
              <w:rPr>
                <w:sz w:val="18"/>
                <w:szCs w:val="18"/>
              </w:rPr>
              <w:t xml:space="preserve">Website-Claim, eigenes Siegel, Zukunfts­aussage, Onlineshop, KI-Texte</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11</w:t>
            </w:r>
          </w:p>
        </w:tc>
        <w:tc>
          <w:tcPr>
            <w:tcW w:type="dxa" w:w="4047"/>
            <w:tcMar>
              <w:top w:type="dxa" w:w="50"/>
              <w:left w:type="dxa" w:w="90"/>
              <w:bottom w:type="dxa" w:w="50"/>
              <w:right w:type="dxa" w:w="90"/>
            </w:tcMar>
            <w:vAlign w:val="top"/>
          </w:tcPr>
          <w:p>
            <w:pPr>
              <w:spacing w:after="30" w:before="0" w:line="252"/>
            </w:pPr>
            <w:r>
              <w:rPr>
                <w:sz w:val="18"/>
                <w:szCs w:val="18"/>
              </w:rPr>
              <w:t xml:space="preserve">Gemeinsame Elemente und Schnittstellen</w:t>
            </w:r>
          </w:p>
        </w:tc>
        <w:tc>
          <w:tcPr>
            <w:tcW w:type="dxa" w:w="4820"/>
            <w:tcMar>
              <w:top w:type="dxa" w:w="50"/>
              <w:left w:type="dxa" w:w="90"/>
              <w:bottom w:type="dxa" w:w="50"/>
              <w:right w:type="dxa" w:w="90"/>
            </w:tcMar>
            <w:vAlign w:val="top"/>
          </w:tcPr>
          <w:p>
            <w:pPr>
              <w:spacing w:after="30" w:before="0" w:line="252"/>
            </w:pPr>
            <w:r>
              <w:rPr>
                <w:sz w:val="18"/>
                <w:szCs w:val="18"/>
              </w:rPr>
              <w:t xml:space="preserve">Was wird einmal geführt und mehrfach genutzt?</w:t>
            </w:r>
          </w:p>
        </w:tc>
      </w:tr>
      <w:tr>
        <w:trPr>
          <w:cantSplit/>
        </w:trPr>
        <w:tc>
          <w:tcPr>
            <w:tcW w:type="dxa" w:w="771"/>
            <w:shd w:fill="F3F5F7" w:color="auto" w:val="clear"/>
            <w:tcMar>
              <w:top w:type="dxa" w:w="50"/>
              <w:left w:type="dxa" w:w="90"/>
              <w:bottom w:type="dxa" w:w="50"/>
              <w:right w:type="dxa" w:w="90"/>
            </w:tcMar>
            <w:vAlign w:val="top"/>
          </w:tcPr>
          <w:p>
            <w:pPr>
              <w:spacing w:after="30" w:before="0" w:line="252"/>
            </w:pPr>
            <w:r>
              <w:rPr>
                <w:sz w:val="18"/>
                <w:szCs w:val="18"/>
              </w:rPr>
              <w:t xml:space="preserve">12</w:t>
            </w:r>
          </w:p>
        </w:tc>
        <w:tc>
          <w:tcPr>
            <w:tcW w:type="dxa" w:w="4047"/>
            <w:shd w:fill="F3F5F7" w:color="auto" w:val="clear"/>
            <w:tcMar>
              <w:top w:type="dxa" w:w="50"/>
              <w:left w:type="dxa" w:w="90"/>
              <w:bottom w:type="dxa" w:w="50"/>
              <w:right w:type="dxa" w:w="90"/>
            </w:tcMar>
            <w:vAlign w:val="top"/>
          </w:tcPr>
          <w:p>
            <w:pPr>
              <w:spacing w:after="30" w:before="0" w:line="252"/>
            </w:pPr>
            <w:r>
              <w:rPr>
                <w:sz w:val="18"/>
                <w:szCs w:val="18"/>
              </w:rPr>
              <w:t xml:space="preserve">KMU-Perspektive</w:t>
            </w:r>
          </w:p>
        </w:tc>
        <w:tc>
          <w:tcPr>
            <w:tcW w:type="dxa" w:w="4820"/>
            <w:shd w:fill="F3F5F7" w:color="auto" w:val="clear"/>
            <w:tcMar>
              <w:top w:type="dxa" w:w="50"/>
              <w:left w:type="dxa" w:w="90"/>
              <w:bottom w:type="dxa" w:w="50"/>
              <w:right w:type="dxa" w:w="90"/>
            </w:tcMar>
            <w:vAlign w:val="top"/>
          </w:tcPr>
          <w:p>
            <w:pPr>
              <w:spacing w:after="30" w:before="0" w:line="252"/>
            </w:pPr>
            <w:r>
              <w:rPr>
                <w:sz w:val="18"/>
                <w:szCs w:val="18"/>
              </w:rPr>
              <w:t xml:space="preserve">Was ist integrierbar, was aufwendig, was proportional? Fünf Ausgangslagen</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13</w:t>
            </w:r>
          </w:p>
        </w:tc>
        <w:tc>
          <w:tcPr>
            <w:tcW w:type="dxa" w:w="4047"/>
            <w:tcMar>
              <w:top w:type="dxa" w:w="50"/>
              <w:left w:type="dxa" w:w="90"/>
              <w:bottom w:type="dxa" w:w="50"/>
              <w:right w:type="dxa" w:w="90"/>
            </w:tcMar>
            <w:vAlign w:val="top"/>
          </w:tcPr>
          <w:p>
            <w:pPr>
              <w:spacing w:after="30" w:before="0" w:line="252"/>
            </w:pPr>
            <w:r>
              <w:rPr>
                <w:sz w:val="18"/>
                <w:szCs w:val="18"/>
              </w:rPr>
              <w:t xml:space="preserve">Tabelle 1: Gap-Analyse je System</w:t>
            </w:r>
          </w:p>
        </w:tc>
        <w:tc>
          <w:tcPr>
            <w:tcW w:type="dxa" w:w="4820"/>
            <w:tcMar>
              <w:top w:type="dxa" w:w="50"/>
              <w:left w:type="dxa" w:w="90"/>
              <w:bottom w:type="dxa" w:w="50"/>
              <w:right w:type="dxa" w:w="90"/>
            </w:tcMar>
            <w:vAlign w:val="top"/>
          </w:tcPr>
          <w:p>
            <w:pPr>
              <w:spacing w:after="30" w:before="0" w:line="252"/>
            </w:pPr>
            <w:r>
              <w:rPr>
                <w:sz w:val="18"/>
                <w:szCs w:val="18"/>
              </w:rPr>
              <w:t xml:space="preserve">Neu aufzunehmen und anzupassen, mit Beispiel und KMU-Relevanz</w:t>
            </w:r>
          </w:p>
        </w:tc>
      </w:tr>
      <w:tr>
        <w:trPr>
          <w:cantSplit/>
        </w:trPr>
        <w:tc>
          <w:tcPr>
            <w:tcW w:type="dxa" w:w="771"/>
            <w:shd w:fill="F3F5F7" w:color="auto" w:val="clear"/>
            <w:tcMar>
              <w:top w:type="dxa" w:w="50"/>
              <w:left w:type="dxa" w:w="90"/>
              <w:bottom w:type="dxa" w:w="50"/>
              <w:right w:type="dxa" w:w="90"/>
            </w:tcMar>
            <w:vAlign w:val="top"/>
          </w:tcPr>
          <w:p>
            <w:pPr>
              <w:spacing w:after="30" w:before="0" w:line="252"/>
            </w:pPr>
            <w:r>
              <w:rPr>
                <w:sz w:val="18"/>
                <w:szCs w:val="18"/>
              </w:rPr>
              <w:t xml:space="preserve">14</w:t>
            </w:r>
          </w:p>
        </w:tc>
        <w:tc>
          <w:tcPr>
            <w:tcW w:type="dxa" w:w="4047"/>
            <w:shd w:fill="F3F5F7" w:color="auto" w:val="clear"/>
            <w:tcMar>
              <w:top w:type="dxa" w:w="50"/>
              <w:left w:type="dxa" w:w="90"/>
              <w:bottom w:type="dxa" w:w="50"/>
              <w:right w:type="dxa" w:w="90"/>
            </w:tcMar>
            <w:vAlign w:val="top"/>
          </w:tcPr>
          <w:p>
            <w:pPr>
              <w:spacing w:after="30" w:before="0" w:line="252"/>
            </w:pPr>
            <w:r>
              <w:rPr>
                <w:sz w:val="18"/>
                <w:szCs w:val="18"/>
              </w:rPr>
              <w:t xml:space="preserve">Tabelle 2: Anforderungen und Zuständigkeiten</w:t>
            </w:r>
          </w:p>
        </w:tc>
        <w:tc>
          <w:tcPr>
            <w:tcW w:type="dxa" w:w="4820"/>
            <w:shd w:fill="F3F5F7" w:color="auto" w:val="clear"/>
            <w:tcMar>
              <w:top w:type="dxa" w:w="50"/>
              <w:left w:type="dxa" w:w="90"/>
              <w:bottom w:type="dxa" w:w="50"/>
              <w:right w:type="dxa" w:w="90"/>
            </w:tcMar>
            <w:vAlign w:val="top"/>
          </w:tcPr>
          <w:p>
            <w:pPr>
              <w:spacing w:after="30" w:before="0" w:line="252"/>
            </w:pPr>
            <w:r>
              <w:rPr>
                <w:sz w:val="18"/>
                <w:szCs w:val="18"/>
              </w:rPr>
              <w:t xml:space="preserve">A1–A14 je System und primär zuständiger Bereich</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15</w:t>
            </w:r>
          </w:p>
        </w:tc>
        <w:tc>
          <w:tcPr>
            <w:tcW w:type="dxa" w:w="4047"/>
            <w:tcMar>
              <w:top w:type="dxa" w:w="50"/>
              <w:left w:type="dxa" w:w="90"/>
              <w:bottom w:type="dxa" w:w="50"/>
              <w:right w:type="dxa" w:w="90"/>
            </w:tcMar>
            <w:vAlign w:val="top"/>
          </w:tcPr>
          <w:p>
            <w:pPr>
              <w:spacing w:after="30" w:before="0" w:line="252"/>
            </w:pPr>
            <w:r>
              <w:rPr>
                <w:sz w:val="18"/>
                <w:szCs w:val="18"/>
              </w:rPr>
              <w:t xml:space="preserve">Fazit und Integrationspfad</w:t>
            </w:r>
          </w:p>
        </w:tc>
        <w:tc>
          <w:tcPr>
            <w:tcW w:type="dxa" w:w="4820"/>
            <w:tcMar>
              <w:top w:type="dxa" w:w="50"/>
              <w:left w:type="dxa" w:w="90"/>
              <w:bottom w:type="dxa" w:w="50"/>
              <w:right w:type="dxa" w:w="90"/>
            </w:tcMar>
            <w:vAlign w:val="top"/>
          </w:tcPr>
          <w:p>
            <w:pPr>
              <w:spacing w:after="30" w:before="0" w:line="252"/>
            </w:pPr>
            <w:r>
              <w:rPr>
                <w:sz w:val="18"/>
                <w:szCs w:val="18"/>
              </w:rPr>
              <w:t xml:space="preserve">Antwort auf die Leitfrage in fünf Schritten</w:t>
            </w:r>
          </w:p>
        </w:tc>
      </w:tr>
      <w:tr>
        <w:trPr>
          <w:cantSplit/>
        </w:trPr>
        <w:tc>
          <w:tcPr>
            <w:tcW w:type="dxa" w:w="771"/>
            <w:shd w:fill="F3F5F7" w:color="auto" w:val="clear"/>
            <w:tcMar>
              <w:top w:type="dxa" w:w="50"/>
              <w:left w:type="dxa" w:w="90"/>
              <w:bottom w:type="dxa" w:w="50"/>
              <w:right w:type="dxa" w:w="90"/>
            </w:tcMar>
            <w:vAlign w:val="top"/>
          </w:tcPr>
          <w:p>
            <w:pPr>
              <w:spacing w:after="30" w:before="0" w:line="252"/>
            </w:pPr>
            <w:r>
              <w:rPr>
                <w:sz w:val="18"/>
                <w:szCs w:val="18"/>
              </w:rPr>
              <w:t xml:space="preserve">16</w:t>
            </w:r>
          </w:p>
        </w:tc>
        <w:tc>
          <w:tcPr>
            <w:tcW w:type="dxa" w:w="4047"/>
            <w:shd w:fill="F3F5F7" w:color="auto" w:val="clear"/>
            <w:tcMar>
              <w:top w:type="dxa" w:w="50"/>
              <w:left w:type="dxa" w:w="90"/>
              <w:bottom w:type="dxa" w:w="50"/>
              <w:right w:type="dxa" w:w="90"/>
            </w:tcMar>
            <w:vAlign w:val="top"/>
          </w:tcPr>
          <w:p>
            <w:pPr>
              <w:spacing w:after="30" w:before="0" w:line="252"/>
            </w:pPr>
            <w:r>
              <w:rPr>
                <w:sz w:val="18"/>
                <w:szCs w:val="18"/>
              </w:rPr>
              <w:t xml:space="preserve">Grenzen und offene Punkte</w:t>
            </w:r>
          </w:p>
        </w:tc>
        <w:tc>
          <w:tcPr>
            <w:tcW w:type="dxa" w:w="4820"/>
            <w:shd w:fill="F3F5F7" w:color="auto" w:val="clear"/>
            <w:tcMar>
              <w:top w:type="dxa" w:w="50"/>
              <w:left w:type="dxa" w:w="90"/>
              <w:bottom w:type="dxa" w:w="50"/>
              <w:right w:type="dxa" w:w="90"/>
            </w:tcMar>
            <w:vAlign w:val="top"/>
          </w:tcPr>
          <w:p>
            <w:pPr>
              <w:spacing w:after="30" w:before="0" w:line="252"/>
            </w:pPr>
            <w:r>
              <w:rPr>
                <w:sz w:val="18"/>
                <w:szCs w:val="18"/>
              </w:rPr>
              <w:t xml:space="preserve">Was vor externer Verwendung zu prüfen ist</w:t>
            </w:r>
          </w:p>
        </w:tc>
      </w:tr>
      <w:tr>
        <w:trPr>
          <w:cantSplit/>
        </w:trPr>
        <w:tc>
          <w:tcPr>
            <w:tcW w:type="dxa" w:w="771"/>
            <w:tcMar>
              <w:top w:type="dxa" w:w="50"/>
              <w:left w:type="dxa" w:w="90"/>
              <w:bottom w:type="dxa" w:w="50"/>
              <w:right w:type="dxa" w:w="90"/>
            </w:tcMar>
            <w:vAlign w:val="top"/>
          </w:tcPr>
          <w:p>
            <w:pPr>
              <w:spacing w:after="30" w:before="0" w:line="252"/>
            </w:pPr>
            <w:r>
              <w:rPr>
                <w:sz w:val="18"/>
                <w:szCs w:val="18"/>
              </w:rPr>
              <w:t xml:space="preserve">A, B</w:t>
            </w:r>
          </w:p>
        </w:tc>
        <w:tc>
          <w:tcPr>
            <w:tcW w:type="dxa" w:w="4047"/>
            <w:tcMar>
              <w:top w:type="dxa" w:w="50"/>
              <w:left w:type="dxa" w:w="90"/>
              <w:bottom w:type="dxa" w:w="50"/>
              <w:right w:type="dxa" w:w="90"/>
            </w:tcMar>
            <w:vAlign w:val="top"/>
          </w:tcPr>
          <w:p>
            <w:pPr>
              <w:spacing w:after="30" w:before="0" w:line="252"/>
            </w:pPr>
            <w:r>
              <w:rPr>
                <w:sz w:val="18"/>
                <w:szCs w:val="18"/>
              </w:rPr>
              <w:t xml:space="preserve">Anhänge</w:t>
            </w:r>
          </w:p>
        </w:tc>
        <w:tc>
          <w:tcPr>
            <w:tcW w:type="dxa" w:w="4820"/>
            <w:tcMar>
              <w:top w:type="dxa" w:w="50"/>
              <w:left w:type="dxa" w:w="90"/>
              <w:bottom w:type="dxa" w:w="50"/>
              <w:right w:type="dxa" w:w="90"/>
            </w:tcMar>
            <w:vAlign w:val="top"/>
          </w:tcPr>
          <w:p>
            <w:pPr>
              <w:spacing w:after="30" w:before="0" w:line="252"/>
            </w:pPr>
            <w:r>
              <w:rPr>
                <w:sz w:val="18"/>
                <w:szCs w:val="18"/>
              </w:rPr>
              <w:t xml:space="preserve">Quellen mit Validierungsstatus; Bezug zur Research-Basis</w:t>
            </w:r>
          </w:p>
        </w:tc>
      </w:tr>
    </w:tbl>
    <w:p>
      <w:pPr>
        <w:spacing w:after="120"/>
      </w:pPr>
    </w:p>
    <w:p>
      <w:pPr>
        <w:pStyle w:val="Heading1"/>
        <w:keepNext/>
        <w:pageBreakBefore/>
      </w:pPr>
      <w:r>
        <w:t xml:space="preserve">1 Kurzantwort</w:t>
      </w:r>
    </w:p>
    <w:p>
      <w:pPr>
        <w:spacing w:after="120" w:before="0" w:line="276"/>
      </w:pPr>
      <w:r>
        <w:rPr>
          <w:b/>
          <w:bCs/>
        </w:rPr>
        <w:t xml:space="preserve">Antwort in einem Satz:</w:t>
      </w:r>
      <w:r>
        <w:t xml:space="preserve"> Rechtlich verlangt EmpCo keine Änderung eines Managementsystems. Faktisch entsteht aber ein neues, gut abgrenzbares Risikoobjekt: die geschäftliche Aussage über ökologische, soziale oder Zirkularitätsmerkmale, im Folgenden „Claim“. Dieses Objekt fehlt in den meisten bestehenden Systemen. Es lässt sich mit wenigen neuen Elementen in die vorhandenen Strukturen einhängen.</w:t>
      </w:r>
    </w:p>
    <w:p>
      <w:pPr>
        <w:pStyle w:val="Heading3"/>
        <w:keepNext/>
      </w:pPr>
      <w:r>
        <w:t xml:space="preserve">Sieben Kernaussagen</w:t>
      </w:r>
    </w:p>
    <w:p>
      <w:pPr>
        <w:pStyle w:val="ListParagraph"/>
        <w:numPr>
          <w:ilvl w:val="0"/>
          <w:numId w:val="3"/>
        </w:numPr>
        <w:spacing w:after="60" w:before="0" w:line="276"/>
      </w:pPr>
      <w:r>
        <w:rPr>
          <w:b/>
          <w:bCs/>
        </w:rPr>
        <w:t xml:space="preserve">Kein eigenes EmpCo-Managementsystem.</w:t>
      </w:r>
      <w:r>
        <w:t xml:space="preserve"> EmpCo ist Lauterkeitsrecht und ergänzt das bestehende Wettbewerbs- und Verbraucherschutzrisiko. Die wirksamen Kontrollen sitzen in vorhandenen Abläufen: Marketingfreigabe, Produktentwicklung, Einkauf, Stammdaten. Empfohlen wird „integriert, aber sichtbar“: ein benannter Owner und ein eigenes Policy-Modul innerhalb des bestehenden CMS (RB Kap. 5.1) </w:t>
      </w:r>
      <w:r>
        <w:rPr>
          <w:color w:val="5E6B78"/>
          <w:sz w:val="18"/>
          <w:szCs w:val="18"/>
        </w:rPr>
        <w:t xml:space="preserve">[I1]</w:t>
      </w:r>
      <w:r>
        <w:t xml:space="preserve"> </w:t>
      </w:r>
      <w:r>
        <w:rPr>
          <w:b/>
          <w:bCs/>
          <w:color w:val="1F6F63"/>
          <w:sz w:val="19"/>
          <w:szCs w:val="19"/>
        </w:rPr>
        <w:t xml:space="preserve">[Organisation]</w:t>
      </w:r>
      <w:r>
        <w:t xml:space="preserve">. Praxisveröffentlichungen argumentieren ebenso </w:t>
      </w:r>
      <w:r>
        <w:rPr>
          <w:color w:val="5E6B78"/>
          <w:sz w:val="18"/>
          <w:szCs w:val="18"/>
        </w:rPr>
        <w:t xml:space="preserve">[L5]</w:t>
      </w:r>
      <w:r>
        <w:t xml:space="preserve">.</w:t>
      </w:r>
    </w:p>
    <w:p>
      <w:pPr>
        <w:pStyle w:val="ListParagraph"/>
        <w:numPr>
          <w:ilvl w:val="0"/>
          <w:numId w:val="3"/>
        </w:numPr>
        <w:spacing w:after="60" w:before="0" w:line="276"/>
      </w:pPr>
      <w:r>
        <w:rPr>
          <w:b/>
          <w:bCs/>
        </w:rPr>
        <w:t xml:space="preserve">Arbeitsteilung der Systeme.</w:t>
      </w:r>
      <w:r>
        <w:t xml:space="preserve"> Das RMS bewertet, wie stark Claims die Unternehmensziele gefährden. Das CMS übersetzt die neuen Rechtspflichten in Regeln, Rollen, Schulung und Überwachung. Das IKS stellt mit konkreten Kontrollen sicher, dass jede veröffentlichte Aussage zulässig, belegt und freigegeben ist, und weist das nach.</w:t>
      </w:r>
    </w:p>
    <w:p>
      <w:pPr>
        <w:pStyle w:val="ListParagraph"/>
        <w:numPr>
          <w:ilvl w:val="0"/>
          <w:numId w:val="3"/>
        </w:numPr>
        <w:spacing w:after="60" w:before="0" w:line="276"/>
      </w:pPr>
      <w:r>
        <w:rPr>
          <w:b/>
          <w:bCs/>
        </w:rPr>
        <w:t xml:space="preserve">Wirklich neu sind vier Elemente</w:t>
      </w:r>
      <w:r>
        <w:t xml:space="preserve"> </w:t>
      </w:r>
      <w:r>
        <w:rPr>
          <w:b/>
          <w:bCs/>
          <w:color w:val="1F6F63"/>
          <w:sz w:val="19"/>
          <w:szCs w:val="19"/>
        </w:rPr>
        <w:t xml:space="preserve">[Organisation]</w:t>
      </w:r>
      <w:r>
        <w:t xml:space="preserve">: ein </w:t>
      </w:r>
      <w:r>
        <w:rPr>
          <w:b/>
          <w:bCs/>
        </w:rPr>
        <w:t xml:space="preserve">Claim-Register</w:t>
      </w:r>
      <w:r>
        <w:t xml:space="preserve"> (Vollständigkeit), ein </w:t>
      </w:r>
      <w:r>
        <w:rPr>
          <w:b/>
          <w:bCs/>
        </w:rPr>
        <w:t xml:space="preserve">Evidenzdossier je Claim</w:t>
      </w:r>
      <w:r>
        <w:t xml:space="preserve"> (Nachweisfähigkeit), ein </w:t>
      </w:r>
      <w:r>
        <w:rPr>
          <w:b/>
          <w:bCs/>
        </w:rPr>
        <w:t xml:space="preserve">Freigabe-Gate vor Veröffentlichung</w:t>
      </w:r>
      <w:r>
        <w:t xml:space="preserve"> (Prävention) und eine </w:t>
      </w:r>
      <w:r>
        <w:rPr>
          <w:b/>
          <w:bCs/>
        </w:rPr>
        <w:t xml:space="preserve">benannte Claim-Verantwortung</w:t>
      </w:r>
      <w:r>
        <w:t xml:space="preserve"> (Zuständigkeit). Hinzu kommen zwei Sonderprozesse, die nur greifen, wenn das Unternehmen solche Aussagen nutzt: Zukunftsaussagen mit Umsetzungsplan und externer Prüfung sowie Siegel mit Zertifizierungssystem </w:t>
      </w:r>
      <w:r>
        <w:rPr>
          <w:b/>
          <w:bCs/>
          <w:color w:val="B04A16"/>
          <w:sz w:val="19"/>
          <w:szCs w:val="19"/>
        </w:rPr>
        <w:t xml:space="preserve">[Pflicht]</w:t>
      </w:r>
      <w:r>
        <w:t xml:space="preserve"> (bedingt).</w:t>
      </w:r>
    </w:p>
    <w:p>
      <w:pPr>
        <w:pStyle w:val="ListParagraph"/>
        <w:numPr>
          <w:ilvl w:val="0"/>
          <w:numId w:val="3"/>
        </w:numPr>
        <w:spacing w:after="60" w:before="0" w:line="276"/>
      </w:pPr>
      <w:r>
        <w:rPr>
          <w:b/>
          <w:bCs/>
        </w:rPr>
        <w:t xml:space="preserve">Anzupassen statt neu zu bauen sind</w:t>
      </w:r>
      <w:r>
        <w:t xml:space="preserve"> im RMS Risikokatalog und Bewertungskriterien; im CMS Pflichtenregister, Compliance-Risikoanalyse, Richtlinien, Verträge, Schulungsplan und Hinweisgeberkategorien; im IKS Risiko-Kontroll-Matrix, Kompetenzordnung, Freigaben und Stammdatenkontrollen. Dazu kommen Marketing-, Produkt-, Einkaufs-, Sustainability- und Legal-Prozesse (Kapitel 9).</w:t>
      </w:r>
    </w:p>
    <w:p>
      <w:pPr>
        <w:pStyle w:val="ListParagraph"/>
        <w:numPr>
          <w:ilvl w:val="0"/>
          <w:numId w:val="3"/>
        </w:numPr>
        <w:spacing w:after="60" w:before="0" w:line="276"/>
      </w:pPr>
      <w:r>
        <w:rPr>
          <w:b/>
          <w:bCs/>
        </w:rPr>
        <w:t xml:space="preserve">Eine Kategorie genügt.</w:t>
      </w:r>
      <w:r>
        <w:t xml:space="preserve"> Von den sechs geprüften Kategorien wird </w:t>
      </w:r>
      <w:r>
        <w:rPr>
          <w:b/>
          <w:bCs/>
        </w:rPr>
        <w:t xml:space="preserve">eine</w:t>
      </w:r>
      <w:r>
        <w:t xml:space="preserve"> technologie- und rechtsaktneutrale Risikokategorie „Umwelt-, Sozial- und Produktaussagen (Claims)“ empfohlen. Evidence Management ist ein Prozess, Supplier Evidence ein Risikotreiber, Claim Governance das Organisationsmodul (Kapitel 8).</w:t>
      </w:r>
    </w:p>
    <w:p>
      <w:pPr>
        <w:pStyle w:val="ListParagraph"/>
        <w:numPr>
          <w:ilvl w:val="0"/>
          <w:numId w:val="3"/>
        </w:numPr>
        <w:spacing w:after="60" w:before="0" w:line="276"/>
      </w:pPr>
      <w:r>
        <w:rPr>
          <w:b/>
          <w:bCs/>
        </w:rPr>
        <w:t xml:space="preserve">KMU brauchen Bausteine, kein System.</w:t>
      </w:r>
      <w:r>
        <w:t xml:space="preserve"> Zehn Bausteine genügen als Mindest-Governance: Beschluss mit Owner, Inventur, Register (Tabelle genügt), Negativliste, Freigaberegel, Evidenzordner, Vertragsklauseln, Kurzschulung, Abmahn-Playbook, halbjährlicher Review (RB Kap. 6.10) </w:t>
      </w:r>
      <w:r>
        <w:rPr>
          <w:color w:val="5E6B78"/>
          <w:sz w:val="18"/>
          <w:szCs w:val="18"/>
        </w:rPr>
        <w:t xml:space="preserve">[I1]</w:t>
      </w:r>
      <w:r>
        <w:t xml:space="preserve">. Aufwendig sind vor allem die einmalige Inventur, fehlende Lieferantennachweise und etwaige Zukunftsaussagen mit externer Prüfung (Kapitel 12).</w:t>
      </w:r>
    </w:p>
    <w:p>
      <w:pPr>
        <w:pStyle w:val="ListParagraph"/>
        <w:numPr>
          <w:ilvl w:val="0"/>
          <w:numId w:val="3"/>
        </w:numPr>
        <w:spacing w:after="60" w:before="0" w:line="276"/>
      </w:pPr>
      <w:r>
        <w:rPr>
          <w:b/>
          <w:bCs/>
        </w:rPr>
        <w:t xml:space="preserve">Größere Unternehmen und Konzerne</w:t>
      </w:r>
      <w:r>
        <w:t xml:space="preserve"> integrieren EmpCo in Compliance-Risikoanalyse, Risiko-Kontroll-Matrix und ERM-Reporting und ergänzen einen Konsistenzabgleich zwischen Nachhaltigkeitsbericht, Transitionsplan und Marketing. Für börsennotierte AG verlangt § 91 Abs. 3 AktG ein angemessenes und wirksames IKS und RMS </w:t>
      </w:r>
      <w:r>
        <w:rPr>
          <w:color w:val="5E6B78"/>
          <w:sz w:val="18"/>
          <w:szCs w:val="18"/>
        </w:rPr>
        <w:t xml:space="preserve">[R9]</w:t>
      </w:r>
      <w:r>
        <w:t xml:space="preserve">; DCGK A.3 empfiehlt, dass diese Systeme auch nachhaltigkeitsbezogene Ziele abdecken </w:t>
      </w:r>
      <w:r>
        <w:rPr>
          <w:color w:val="5E6B78"/>
          <w:sz w:val="18"/>
          <w:szCs w:val="18"/>
        </w:rPr>
        <w:t xml:space="preserve">[B5]</w:t>
      </w:r>
      <w:r>
        <w:t xml:space="preserve">.</w:t>
      </w:r>
    </w:p>
    <w:p>
      <w:pPr>
        <w:spacing w:after="40"/>
      </w:pPr>
    </w:p>
    <w:p>
      <w:pPr>
        <w:pStyle w:val="Heading3"/>
        <w:keepNext/>
      </w:pPr>
      <w:r>
        <w:t xml:space="preserve">Was EmpCo nicht verlangt</w:t>
      </w:r>
    </w:p>
    <w:p>
      <w:pPr>
        <w:spacing w:after="120" w:before="0" w:line="276"/>
      </w:pPr>
      <w:r>
        <w:t xml:space="preserve">Damit keine Anforderungen erfunden werden, hier ausdrücklich, was sich aus EmpCo </w:t>
      </w:r>
      <w:r>
        <w:rPr>
          <w:b/>
          <w:bCs/>
        </w:rPr>
        <w:t xml:space="preserve">nicht</w:t>
      </w:r>
      <w:r>
        <w:t xml:space="preserve"> ergibt:</w:t>
      </w:r>
    </w:p>
    <w:p>
      <w:pPr>
        <w:pStyle w:val="ListParagraph"/>
        <w:numPr>
          <w:ilvl w:val="0"/>
          <w:numId w:val="2"/>
        </w:numPr>
        <w:spacing w:after="60" w:before="0" w:line="276"/>
      </w:pPr>
      <w:r>
        <w:t xml:space="preserve">keine Pflicht, ein CMS, RMS oder IKS einzurichten, zu zertifizieren oder prüfen zu lassen;</w:t>
      </w:r>
    </w:p>
    <w:p>
      <w:pPr>
        <w:pStyle w:val="ListParagraph"/>
        <w:numPr>
          <w:ilvl w:val="0"/>
          <w:numId w:val="2"/>
        </w:numPr>
        <w:spacing w:after="60" w:before="0" w:line="276"/>
      </w:pPr>
      <w:r>
        <w:t xml:space="preserve">keine behördliche Vorabprüfung oder Registrierung von Claims. Die Green-Claims-Richtlinie mit Ex-ante-Verifizierung ist nicht in Kraft; der Vorschlag ist faktisch gestoppt (RB Kap. 1.2.2) </w:t>
      </w:r>
      <w:r>
        <w:rPr>
          <w:color w:val="5E6B78"/>
          <w:sz w:val="18"/>
          <w:szCs w:val="18"/>
        </w:rPr>
        <w:t xml:space="preserve">[I1]</w:t>
      </w:r>
      <w:r>
        <w:t xml:space="preserve">;</w:t>
      </w:r>
    </w:p>
    <w:p>
      <w:pPr>
        <w:pStyle w:val="ListParagraph"/>
        <w:numPr>
          <w:ilvl w:val="0"/>
          <w:numId w:val="2"/>
        </w:numPr>
        <w:spacing w:after="60" w:before="0" w:line="276"/>
      </w:pPr>
      <w:r>
        <w:t xml:space="preserve">keine vorgeschriebene Methode (z. B. PEF oder Ökobilanz) für spezifische Umweltaussagen; die Methodenwahl liegt beim Unternehmen;</w:t>
      </w:r>
    </w:p>
    <w:p>
      <w:pPr>
        <w:pStyle w:val="ListParagraph"/>
        <w:numPr>
          <w:ilvl w:val="0"/>
          <w:numId w:val="2"/>
        </w:numPr>
        <w:spacing w:after="60" w:before="0" w:line="276"/>
      </w:pPr>
      <w:r>
        <w:t xml:space="preserve">keinen „Claim Owner“, kein Claim-Register und keine Kennzahlen. Das sind organisatorische Mittel zur Erfüllung der Pflichten;</w:t>
      </w:r>
    </w:p>
    <w:p>
      <w:pPr>
        <w:pStyle w:val="ListParagraph"/>
        <w:numPr>
          <w:ilvl w:val="0"/>
          <w:numId w:val="2"/>
        </w:numPr>
        <w:spacing w:after="60" w:before="0" w:line="276"/>
      </w:pPr>
      <w:r>
        <w:t xml:space="preserve">keine Pflicht, umweltfreundlich zu sein oder Umweltaussagen zu treffen. Wer keine Claims nutzt, verstößt nicht gegen die Claim-Verbote; die Informationspflichten im Verbrauchervertragsrecht (A11) bleiben bestehen;</w:t>
      </w:r>
    </w:p>
    <w:p>
      <w:pPr>
        <w:pStyle w:val="ListParagraph"/>
        <w:numPr>
          <w:ilvl w:val="0"/>
          <w:numId w:val="2"/>
        </w:numPr>
        <w:spacing w:after="60" w:before="0" w:line="276"/>
      </w:pPr>
      <w:r>
        <w:t xml:space="preserve">keine Ausnahme für KMU: Die Verbote gelten unabhängig von der Unternehmensgröße (RB Kap. 2.1) </w:t>
      </w:r>
      <w:r>
        <w:rPr>
          <w:color w:val="5E6B78"/>
          <w:sz w:val="18"/>
          <w:szCs w:val="18"/>
        </w:rPr>
        <w:t xml:space="preserve">[I1]</w:t>
      </w:r>
      <w:r>
        <w:t xml:space="preserve">.</w:t>
      </w:r>
    </w:p>
    <w:p>
      <w:pPr>
        <w:spacing w:after="40"/>
      </w:pPr>
    </w:p>
    <w:p>
      <w:pPr>
        <w:pStyle w:val="Heading1"/>
        <w:keepNext/>
        <w:pageBreakBefore/>
      </w:pPr>
      <w:r>
        <w:t xml:space="preserve">2 Was EmpCo rechtlich verlangt – Anforderungskatalog A1–A14</w:t>
      </w:r>
    </w:p>
    <w:p>
      <w:pPr>
        <w:spacing w:after="120" w:before="0" w:line="276"/>
      </w:pPr>
      <w:r>
        <w:t xml:space="preserve">Der Katalog ist die gemeinsame Referenz für alle drei Systeme. Die Nummern A1 bis A14 werden in den Kapiteln 5 bis 14 wieder aufgegriffen. Alle Punkte sind </w:t>
      </w:r>
      <w:r>
        <w:rPr>
          <w:b/>
          <w:bCs/>
          <w:color w:val="B04A16"/>
          <w:sz w:val="19"/>
          <w:szCs w:val="19"/>
        </w:rPr>
        <w:t xml:space="preserve">[Pflicht]</w:t>
      </w:r>
      <w:r>
        <w:t xml:space="preserve">. Sie gelten seit dem 27.09.2026 und grundsätzlich nur gegenüber Verbrauchern (B2C); Ausnahmen sind vermerkt. Fundstellen: EU </w:t>
      </w:r>
      <w:r>
        <w:rPr>
          <w:color w:val="5E6B78"/>
          <w:sz w:val="18"/>
          <w:szCs w:val="18"/>
        </w:rPr>
        <w:t xml:space="preserve">[R1][R2][R3]</w:t>
      </w:r>
      <w:r>
        <w:t xml:space="preserve">, Deutschland </w:t>
      </w:r>
      <w:r>
        <w:rPr>
          <w:color w:val="5E6B78"/>
          <w:sz w:val="18"/>
          <w:szCs w:val="18"/>
        </w:rPr>
        <w:t xml:space="preserve">[R4][R5]</w:t>
      </w:r>
      <w:r>
        <w:t xml:space="preserve">, Gesetzesbegründung </w:t>
      </w:r>
      <w:r>
        <w:rPr>
          <w:color w:val="5E6B78"/>
          <w:sz w:val="18"/>
          <w:szCs w:val="18"/>
        </w:rPr>
        <w:t xml:space="preserve">[R7]</w:t>
      </w:r>
      <w:r>
        <w:t xml:space="preserve">. Als Auslegungshilfe bleiben die UGP-Leitlinien der Kommission von 2021 relevant </w:t>
      </w:r>
      <w:r>
        <w:rPr>
          <w:color w:val="5E6B78"/>
          <w:sz w:val="18"/>
          <w:szCs w:val="18"/>
        </w:rPr>
        <w:t xml:space="preserve">[B2]</w:t>
      </w:r>
      <w:r>
        <w:t xml:space="preserve">.</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578"/>
        <w:gridCol w:w="3469"/>
        <w:gridCol w:w="1638"/>
        <w:gridCol w:w="1638"/>
        <w:gridCol w:w="2315"/>
      </w:tblGrid>
      <w:tr>
        <w:trPr>
          <w:cantSplit/>
          <w:tblHeader/>
        </w:trPr>
        <w:tc>
          <w:tcPr>
            <w:tcW w:type="dxa" w:w="578"/>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Nr.</w:t>
            </w:r>
          </w:p>
        </w:tc>
        <w:tc>
          <w:tcPr>
            <w:tcW w:type="dxa" w:w="3469"/>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Anforderung</w:t>
            </w:r>
          </w:p>
        </w:tc>
        <w:tc>
          <w:tcPr>
            <w:tcW w:type="dxa" w:w="1638"/>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EU</w:t>
            </w:r>
          </w:p>
        </w:tc>
        <w:tc>
          <w:tcPr>
            <w:tcW w:type="dxa" w:w="1638"/>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Deutschland</w:t>
            </w:r>
          </w:p>
        </w:tc>
        <w:tc>
          <w:tcPr>
            <w:tcW w:type="dxa" w:w="2315"/>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Hinweis</w:t>
            </w:r>
          </w:p>
        </w:tc>
      </w:tr>
      <w:tr>
        <w:trPr>
          <w:cantSplit/>
        </w:trPr>
        <w:tc>
          <w:tcPr>
            <w:tcW w:type="dxa" w:w="578"/>
            <w:tcMar>
              <w:top w:type="dxa" w:w="30"/>
              <w:left w:type="dxa" w:w="90"/>
              <w:bottom w:type="dxa" w:w="30"/>
              <w:right w:type="dxa" w:w="90"/>
            </w:tcMar>
            <w:vAlign w:val="top"/>
          </w:tcPr>
          <w:p>
            <w:pPr>
              <w:spacing w:after="30" w:before="0" w:line="252"/>
            </w:pPr>
            <w:r>
              <w:rPr>
                <w:b/>
                <w:bCs/>
                <w:sz w:val="16"/>
                <w:szCs w:val="16"/>
              </w:rPr>
              <w:t xml:space="preserve">A1</w:t>
            </w:r>
          </w:p>
        </w:tc>
        <w:tc>
          <w:tcPr>
            <w:tcW w:type="dxa" w:w="3469"/>
            <w:tcMar>
              <w:top w:type="dxa" w:w="30"/>
              <w:left w:type="dxa" w:w="90"/>
              <w:bottom w:type="dxa" w:w="30"/>
              <w:right w:type="dxa" w:w="90"/>
            </w:tcMar>
            <w:vAlign w:val="top"/>
          </w:tcPr>
          <w:p>
            <w:pPr>
              <w:spacing w:after="30" w:before="0" w:line="252"/>
            </w:pPr>
            <w:r>
              <w:rPr>
                <w:b w:val="false"/>
                <w:bCs w:val="false"/>
                <w:sz w:val="16"/>
                <w:szCs w:val="16"/>
              </w:rPr>
              <w:t xml:space="preserve">Ökologische und soziale Merkmale sowie Zirkularitätsaspekte (Haltbarkeit, Reparierbarkeit, Recycelbarkeit) sind ausdrücklich Bezugspunkte der Irreführung.</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Art. 6 Abs. 1 lit. b UGP-RL</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 5 Abs. 2 Nr. 1 UWG</w:t>
            </w:r>
          </w:p>
        </w:tc>
        <w:tc>
          <w:tcPr>
            <w:tcW w:type="dxa" w:w="2315"/>
            <w:tcMar>
              <w:top w:type="dxa" w:w="30"/>
              <w:left w:type="dxa" w:w="90"/>
              <w:bottom w:type="dxa" w:w="30"/>
              <w:right w:type="dxa" w:w="90"/>
            </w:tcMar>
            <w:vAlign w:val="top"/>
          </w:tcPr>
          <w:p>
            <w:pPr>
              <w:spacing w:after="30" w:before="0" w:line="252"/>
            </w:pPr>
            <w:r>
              <w:rPr>
                <w:b w:val="false"/>
                <w:bCs w:val="false"/>
                <w:sz w:val="16"/>
                <w:szCs w:val="16"/>
              </w:rPr>
              <w:t xml:space="preserve">Gilt über § 5 UWG auch B2B </w:t>
            </w:r>
            <w:r>
              <w:rPr>
                <w:b w:val="false"/>
                <w:bCs w:val="false"/>
                <w:color w:val="5E6B78"/>
                <w:sz w:val="13"/>
                <w:szCs w:val="13"/>
              </w:rPr>
              <w:t xml:space="preserve">[I1]</w:t>
            </w:r>
            <w:r>
              <w:rPr>
                <w:b w:val="false"/>
                <w:bCs w:val="false"/>
                <w:sz w:val="16"/>
                <w:szCs w:val="16"/>
              </w:rPr>
              <w:t xml:space="preserve">; Einzelfall­prüfung.</w:t>
            </w:r>
          </w:p>
        </w:tc>
      </w:tr>
      <w:tr>
        <w:trPr>
          <w:cantSplit/>
        </w:trPr>
        <w:tc>
          <w:tcPr>
            <w:tcW w:type="dxa" w:w="578"/>
            <w:shd w:fill="F3F5F7" w:color="auto" w:val="clear"/>
            <w:tcMar>
              <w:top w:type="dxa" w:w="30"/>
              <w:left w:type="dxa" w:w="90"/>
              <w:bottom w:type="dxa" w:w="30"/>
              <w:right w:type="dxa" w:w="90"/>
            </w:tcMar>
            <w:vAlign w:val="top"/>
          </w:tcPr>
          <w:p>
            <w:pPr>
              <w:spacing w:after="30" w:before="0" w:line="252"/>
            </w:pPr>
            <w:r>
              <w:rPr>
                <w:b/>
                <w:bCs/>
                <w:sz w:val="16"/>
                <w:szCs w:val="16"/>
              </w:rPr>
              <w:t xml:space="preserve">A2</w:t>
            </w:r>
          </w:p>
        </w:tc>
        <w:tc>
          <w:tcPr>
            <w:tcW w:type="dxa" w:w="346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Keine allgemeine Umwelt­aussage („umweltfreundlich“, „grün“, „klimafreundlich“ …) ohne nachweisbare anerkannte hervorragende Umweltleistung. Eine klare, hervorgehobene Spezifizierung im selben Medium macht die Aussage zur spezifischen Aussage.</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Anhang I Nr. 4a; Art. 2 lit. p, s</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Anhang Nr. 4a UWG; § 2 Abs. 2 UWG</w:t>
            </w:r>
          </w:p>
        </w:tc>
        <w:tc>
          <w:tcPr>
            <w:tcW w:type="dxa" w:w="231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Per-se-Verbot. Anerkannt sind nur EU-Umweltzeichen, amtlich anerkannte Typ-I-Zeichen (z. B. Blauer Engel) oder Spitzenleistung nach Unionsrecht.</w:t>
            </w:r>
          </w:p>
        </w:tc>
      </w:tr>
      <w:tr>
        <w:trPr>
          <w:cantSplit/>
        </w:trPr>
        <w:tc>
          <w:tcPr>
            <w:tcW w:type="dxa" w:w="578"/>
            <w:tcMar>
              <w:top w:type="dxa" w:w="30"/>
              <w:left w:type="dxa" w:w="90"/>
              <w:bottom w:type="dxa" w:w="30"/>
              <w:right w:type="dxa" w:w="90"/>
            </w:tcMar>
            <w:vAlign w:val="top"/>
          </w:tcPr>
          <w:p>
            <w:pPr>
              <w:spacing w:after="30" w:before="0" w:line="252"/>
            </w:pPr>
            <w:r>
              <w:rPr>
                <w:b/>
                <w:bCs/>
                <w:sz w:val="16"/>
                <w:szCs w:val="16"/>
              </w:rPr>
              <w:t xml:space="preserve">A3</w:t>
            </w:r>
          </w:p>
        </w:tc>
        <w:tc>
          <w:tcPr>
            <w:tcW w:type="dxa" w:w="3469"/>
            <w:tcMar>
              <w:top w:type="dxa" w:w="30"/>
              <w:left w:type="dxa" w:w="90"/>
              <w:bottom w:type="dxa" w:w="30"/>
              <w:right w:type="dxa" w:w="90"/>
            </w:tcMar>
            <w:vAlign w:val="top"/>
          </w:tcPr>
          <w:p>
            <w:pPr>
              <w:spacing w:after="30" w:before="0" w:line="252"/>
            </w:pPr>
            <w:r>
              <w:rPr>
                <w:b w:val="false"/>
                <w:bCs w:val="false"/>
                <w:sz w:val="16"/>
                <w:szCs w:val="16"/>
              </w:rPr>
              <w:t xml:space="preserve">Kein Nachhaltigkeitssiegel ohne Zertifizierungs­system (vier Kriterien, u. a. Überwachung durch unabhängigen Dritten) oder staatliche Festsetzung.</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Anhang I Nr. 2a; Art. 2 lit. q, r</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Anhang Nr. 2a UWG</w:t>
            </w:r>
          </w:p>
        </w:tc>
        <w:tc>
          <w:tcPr>
            <w:tcW w:type="dxa" w:w="2315"/>
            <w:tcMar>
              <w:top w:type="dxa" w:w="30"/>
              <w:left w:type="dxa" w:w="90"/>
              <w:bottom w:type="dxa" w:w="30"/>
              <w:right w:type="dxa" w:w="90"/>
            </w:tcMar>
            <w:vAlign w:val="top"/>
          </w:tcPr>
          <w:p>
            <w:pPr>
              <w:spacing w:after="30" w:before="0" w:line="252"/>
            </w:pPr>
            <w:r>
              <w:rPr>
                <w:b w:val="false"/>
                <w:bCs w:val="false"/>
                <w:sz w:val="16"/>
                <w:szCs w:val="16"/>
              </w:rPr>
              <w:t xml:space="preserve">Per-se-Verbot. Eigene Siegel nur mit echtem Zertifizierungs­system </w:t>
            </w:r>
            <w:r>
              <w:rPr>
                <w:b w:val="false"/>
                <w:bCs w:val="false"/>
                <w:color w:val="5E6B78"/>
                <w:sz w:val="13"/>
                <w:szCs w:val="13"/>
              </w:rPr>
              <w:t xml:space="preserve">[B1]</w:t>
            </w:r>
            <w:r>
              <w:rPr>
                <w:b w:val="false"/>
                <w:bCs w:val="false"/>
                <w:sz w:val="16"/>
                <w:szCs w:val="16"/>
              </w:rPr>
              <w:t xml:space="preserve">.</w:t>
            </w:r>
          </w:p>
        </w:tc>
      </w:tr>
      <w:tr>
        <w:trPr>
          <w:cantSplit/>
        </w:trPr>
        <w:tc>
          <w:tcPr>
            <w:tcW w:type="dxa" w:w="578"/>
            <w:shd w:fill="F3F5F7" w:color="auto" w:val="clear"/>
            <w:tcMar>
              <w:top w:type="dxa" w:w="30"/>
              <w:left w:type="dxa" w:w="90"/>
              <w:bottom w:type="dxa" w:w="30"/>
              <w:right w:type="dxa" w:w="90"/>
            </w:tcMar>
            <w:vAlign w:val="top"/>
          </w:tcPr>
          <w:p>
            <w:pPr>
              <w:spacing w:after="30" w:before="0" w:line="252"/>
            </w:pPr>
            <w:r>
              <w:rPr>
                <w:b/>
                <w:bCs/>
                <w:sz w:val="16"/>
                <w:szCs w:val="16"/>
              </w:rPr>
              <w:t xml:space="preserve">A4</w:t>
            </w:r>
          </w:p>
        </w:tc>
        <w:tc>
          <w:tcPr>
            <w:tcW w:type="dxa" w:w="346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Keine Umwelt­aussage über das ganze Produkt oder die ganze Geschäftstätigkeit, wenn sie nur einen Aspekt betrifft.</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Anhang I Nr. 4b</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Anhang Nr. 4b UWG</w:t>
            </w:r>
          </w:p>
        </w:tc>
        <w:tc>
          <w:tcPr>
            <w:tcW w:type="dxa" w:w="231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Per-se-Verbot.</w:t>
            </w:r>
          </w:p>
        </w:tc>
      </w:tr>
      <w:tr>
        <w:trPr>
          <w:cantSplit/>
        </w:trPr>
        <w:tc>
          <w:tcPr>
            <w:tcW w:type="dxa" w:w="578"/>
            <w:tcMar>
              <w:top w:type="dxa" w:w="30"/>
              <w:left w:type="dxa" w:w="90"/>
              <w:bottom w:type="dxa" w:w="30"/>
              <w:right w:type="dxa" w:w="90"/>
            </w:tcMar>
            <w:vAlign w:val="top"/>
          </w:tcPr>
          <w:p>
            <w:pPr>
              <w:spacing w:after="30" w:before="0" w:line="252"/>
            </w:pPr>
            <w:r>
              <w:rPr>
                <w:b/>
                <w:bCs/>
                <w:sz w:val="16"/>
                <w:szCs w:val="16"/>
              </w:rPr>
              <w:t xml:space="preserve">A5</w:t>
            </w:r>
          </w:p>
        </w:tc>
        <w:tc>
          <w:tcPr>
            <w:tcW w:type="dxa" w:w="3469"/>
            <w:tcMar>
              <w:top w:type="dxa" w:w="30"/>
              <w:left w:type="dxa" w:w="90"/>
              <w:bottom w:type="dxa" w:w="30"/>
              <w:right w:type="dxa" w:w="90"/>
            </w:tcMar>
            <w:vAlign w:val="top"/>
          </w:tcPr>
          <w:p>
            <w:pPr>
              <w:spacing w:after="30" w:before="0" w:line="252"/>
            </w:pPr>
            <w:r>
              <w:rPr>
                <w:b w:val="false"/>
                <w:bCs w:val="false"/>
                <w:sz w:val="16"/>
                <w:szCs w:val="16"/>
              </w:rPr>
              <w:t xml:space="preserve">Keine Behauptung, ein Produkt habe aufgrund von Kompensation eine neutrale, verringerte oder positive Treibhausgaswirkung.</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Anhang I Nr. 4c</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Anhang Nr. 4c UWG</w:t>
            </w:r>
          </w:p>
        </w:tc>
        <w:tc>
          <w:tcPr>
            <w:tcW w:type="dxa" w:w="2315"/>
            <w:tcMar>
              <w:top w:type="dxa" w:w="30"/>
              <w:left w:type="dxa" w:w="90"/>
              <w:bottom w:type="dxa" w:w="30"/>
              <w:right w:type="dxa" w:w="90"/>
            </w:tcMar>
            <w:vAlign w:val="top"/>
          </w:tcPr>
          <w:p>
            <w:pPr>
              <w:spacing w:after="30" w:before="0" w:line="252"/>
            </w:pPr>
            <w:r>
              <w:rPr>
                <w:b w:val="false"/>
                <w:bCs w:val="false"/>
                <w:sz w:val="16"/>
                <w:szCs w:val="16"/>
              </w:rPr>
              <w:t xml:space="preserve">Per-se-Verbot. Aussagen über die Finanzierung von Klimaschutzprojekten bleiben möglich, wenn sie nicht irreführen </w:t>
            </w:r>
            <w:r>
              <w:rPr>
                <w:b w:val="false"/>
                <w:bCs w:val="false"/>
                <w:color w:val="5E6B78"/>
                <w:sz w:val="13"/>
                <w:szCs w:val="13"/>
              </w:rPr>
              <w:t xml:space="preserve">[B1]</w:t>
            </w:r>
            <w:r>
              <w:rPr>
                <w:b w:val="false"/>
                <w:bCs w:val="false"/>
                <w:sz w:val="16"/>
                <w:szCs w:val="16"/>
              </w:rPr>
              <w:t xml:space="preserve">.</w:t>
            </w:r>
          </w:p>
        </w:tc>
      </w:tr>
      <w:tr>
        <w:trPr>
          <w:cantSplit/>
        </w:trPr>
        <w:tc>
          <w:tcPr>
            <w:tcW w:type="dxa" w:w="578"/>
            <w:shd w:fill="F3F5F7" w:color="auto" w:val="clear"/>
            <w:tcMar>
              <w:top w:type="dxa" w:w="30"/>
              <w:left w:type="dxa" w:w="90"/>
              <w:bottom w:type="dxa" w:w="30"/>
              <w:right w:type="dxa" w:w="90"/>
            </w:tcMar>
            <w:vAlign w:val="top"/>
          </w:tcPr>
          <w:p>
            <w:pPr>
              <w:spacing w:after="30" w:before="0" w:line="252"/>
            </w:pPr>
            <w:r>
              <w:rPr>
                <w:b/>
                <w:bCs/>
                <w:sz w:val="16"/>
                <w:szCs w:val="16"/>
              </w:rPr>
              <w:t xml:space="preserve">A6</w:t>
            </w:r>
          </w:p>
        </w:tc>
        <w:tc>
          <w:tcPr>
            <w:tcW w:type="dxa" w:w="346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Aussagen über künftige Umweltleistung nur mit klaren, objektiven, öffentlich einsehbaren und überprüfbaren Verpflichtungen in einem detaillierten, realistischen Umsetzungs­plan (messbare, zeitgebundene Ziele, Ressourcen), der regelmäßig von einem unabhängigen externen Sachverständigen geprüft wird; dessen Ergebnisse müssen Verbrauchern zugänglich sein.</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Art. 6 Abs. 2 lit. d UGP-RL</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 5 Abs. 3 Nr. 4 UWG (Nummer nach Sekundärquellen)</w:t>
            </w:r>
          </w:p>
        </w:tc>
        <w:tc>
          <w:tcPr>
            <w:tcW w:type="dxa" w:w="231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Die einzige ausdrücklich prozessuale Anforderung; nur bei Nutzung. IDW-Muster­vermerke für die Prüfung liegen vor </w:t>
            </w:r>
            <w:r>
              <w:rPr>
                <w:b w:val="false"/>
                <w:bCs w:val="false"/>
                <w:color w:val="5E6B78"/>
                <w:sz w:val="13"/>
                <w:szCs w:val="13"/>
              </w:rPr>
              <w:t xml:space="preserve">[B4]</w:t>
            </w:r>
            <w:r>
              <w:rPr>
                <w:b w:val="false"/>
                <w:bCs w:val="false"/>
                <w:sz w:val="16"/>
                <w:szCs w:val="16"/>
              </w:rPr>
              <w:t xml:space="preserve">.</w:t>
            </w:r>
          </w:p>
        </w:tc>
      </w:tr>
      <w:tr>
        <w:trPr>
          <w:cantSplit/>
        </w:trPr>
        <w:tc>
          <w:tcPr>
            <w:tcW w:type="dxa" w:w="578"/>
            <w:tcMar>
              <w:top w:type="dxa" w:w="30"/>
              <w:left w:type="dxa" w:w="90"/>
              <w:bottom w:type="dxa" w:w="30"/>
              <w:right w:type="dxa" w:w="90"/>
            </w:tcMar>
            <w:vAlign w:val="top"/>
          </w:tcPr>
          <w:p>
            <w:pPr>
              <w:spacing w:after="30" w:before="0" w:line="252"/>
            </w:pPr>
            <w:r>
              <w:rPr>
                <w:b/>
                <w:bCs/>
                <w:sz w:val="16"/>
                <w:szCs w:val="16"/>
              </w:rPr>
              <w:t xml:space="preserve">A7</w:t>
            </w:r>
          </w:p>
        </w:tc>
        <w:tc>
          <w:tcPr>
            <w:tcW w:type="dxa" w:w="3469"/>
            <w:tcMar>
              <w:top w:type="dxa" w:w="30"/>
              <w:left w:type="dxa" w:w="90"/>
              <w:bottom w:type="dxa" w:w="30"/>
              <w:right w:type="dxa" w:w="90"/>
            </w:tcMar>
            <w:vAlign w:val="top"/>
          </w:tcPr>
          <w:p>
            <w:pPr>
              <w:spacing w:after="30" w:before="0" w:line="252"/>
            </w:pPr>
            <w:r>
              <w:rPr>
                <w:b w:val="false"/>
                <w:bCs w:val="false"/>
                <w:sz w:val="16"/>
                <w:szCs w:val="16"/>
              </w:rPr>
              <w:t xml:space="preserve">Keine Werbung mit irrelevanten Vorteilen, die nicht aus einem Merkmal des Produkts oder Unternehmens folgen.</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Art. 6 Abs. 2 lit. e</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 5 Abs. 3 Nr. 3 UWG</w:t>
            </w:r>
          </w:p>
        </w:tc>
        <w:tc>
          <w:tcPr>
            <w:tcW w:type="dxa" w:w="2315"/>
            <w:tcMar>
              <w:top w:type="dxa" w:w="30"/>
              <w:left w:type="dxa" w:w="90"/>
              <w:bottom w:type="dxa" w:w="30"/>
              <w:right w:type="dxa" w:w="90"/>
            </w:tcMar>
            <w:vAlign w:val="top"/>
          </w:tcPr>
          <w:p>
            <w:pPr>
              <w:spacing w:after="30" w:before="0" w:line="252"/>
            </w:pPr>
            <w:r>
              <w:rPr>
                <w:b w:val="false"/>
                <w:bCs w:val="false"/>
                <w:sz w:val="16"/>
                <w:szCs w:val="16"/>
              </w:rPr>
              <w:t xml:space="preserve">Einzelfall­prüfung.</w:t>
            </w:r>
          </w:p>
        </w:tc>
      </w:tr>
      <w:tr>
        <w:trPr>
          <w:cantSplit/>
        </w:trPr>
        <w:tc>
          <w:tcPr>
            <w:tcW w:type="dxa" w:w="578"/>
            <w:shd w:fill="F3F5F7" w:color="auto" w:val="clear"/>
            <w:tcMar>
              <w:top w:type="dxa" w:w="30"/>
              <w:left w:type="dxa" w:w="90"/>
              <w:bottom w:type="dxa" w:w="30"/>
              <w:right w:type="dxa" w:w="90"/>
            </w:tcMar>
            <w:vAlign w:val="top"/>
          </w:tcPr>
          <w:p>
            <w:pPr>
              <w:spacing w:after="30" w:before="0" w:line="252"/>
            </w:pPr>
            <w:r>
              <w:rPr>
                <w:b/>
                <w:bCs/>
                <w:sz w:val="16"/>
                <w:szCs w:val="16"/>
              </w:rPr>
              <w:t xml:space="preserve">A8</w:t>
            </w:r>
          </w:p>
        </w:tc>
        <w:tc>
          <w:tcPr>
            <w:tcW w:type="dxa" w:w="346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Gesetzliche Anforderungen, die für alle Produkte der Kategorie gelten, nicht als Besonderheit des eigenen Angebots darstellen.</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Anhang I Nr. 10a</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Anhang Nr. 10a UWG</w:t>
            </w:r>
          </w:p>
        </w:tc>
        <w:tc>
          <w:tcPr>
            <w:tcW w:type="dxa" w:w="231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Per-se-Verbot; erfordert Abgleich mit dem Produktrecht.</w:t>
            </w:r>
          </w:p>
        </w:tc>
      </w:tr>
      <w:tr>
        <w:trPr>
          <w:cantSplit/>
        </w:trPr>
        <w:tc>
          <w:tcPr>
            <w:tcW w:type="dxa" w:w="578"/>
            <w:tcMar>
              <w:top w:type="dxa" w:w="30"/>
              <w:left w:type="dxa" w:w="90"/>
              <w:bottom w:type="dxa" w:w="30"/>
              <w:right w:type="dxa" w:w="90"/>
            </w:tcMar>
            <w:vAlign w:val="top"/>
          </w:tcPr>
          <w:p>
            <w:pPr>
              <w:spacing w:after="30" w:before="0" w:line="252"/>
            </w:pPr>
            <w:r>
              <w:rPr>
                <w:b/>
                <w:bCs/>
                <w:sz w:val="16"/>
                <w:szCs w:val="16"/>
              </w:rPr>
              <w:t xml:space="preserve">A9</w:t>
            </w:r>
          </w:p>
        </w:tc>
        <w:tc>
          <w:tcPr>
            <w:tcW w:type="dxa" w:w="3469"/>
            <w:tcMar>
              <w:top w:type="dxa" w:w="30"/>
              <w:left w:type="dxa" w:w="90"/>
              <w:bottom w:type="dxa" w:w="30"/>
              <w:right w:type="dxa" w:w="90"/>
            </w:tcMar>
            <w:vAlign w:val="top"/>
          </w:tcPr>
          <w:p>
            <w:pPr>
              <w:spacing w:after="30" w:before="0" w:line="252"/>
            </w:pPr>
            <w:r>
              <w:rPr>
                <w:b w:val="false"/>
                <w:bCs w:val="false"/>
                <w:sz w:val="16"/>
                <w:szCs w:val="16"/>
              </w:rPr>
              <w:t xml:space="preserve">Bei Vergleichen ökologischer oder sozialer Merkmale bzw. der Zirkularität sind Methode, verglichene Produkte und Anbieter sowie Aktualisierung wesentliche Informationen.</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Art. 7 Abs. 7</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 5b Abs. 3a UWG</w:t>
            </w:r>
          </w:p>
        </w:tc>
        <w:tc>
          <w:tcPr>
            <w:tcW w:type="dxa" w:w="2315"/>
            <w:tcMar>
              <w:top w:type="dxa" w:w="30"/>
              <w:left w:type="dxa" w:w="90"/>
              <w:bottom w:type="dxa" w:w="30"/>
              <w:right w:type="dxa" w:w="90"/>
            </w:tcMar>
            <w:vAlign w:val="top"/>
          </w:tcPr>
          <w:p>
            <w:pPr>
              <w:spacing w:after="30" w:before="0" w:line="252"/>
            </w:pPr>
            <w:r>
              <w:rPr>
                <w:b w:val="false"/>
                <w:bCs w:val="false"/>
                <w:sz w:val="16"/>
                <w:szCs w:val="16"/>
              </w:rPr>
              <w:t xml:space="preserve">Irreführung durch Unterlassen; vergleichende Werbung zusätzlich § 6 UWG.</w:t>
            </w:r>
          </w:p>
        </w:tc>
      </w:tr>
      <w:tr>
        <w:trPr>
          <w:cantSplit/>
        </w:trPr>
        <w:tc>
          <w:tcPr>
            <w:tcW w:type="dxa" w:w="578"/>
            <w:shd w:fill="F3F5F7" w:color="auto" w:val="clear"/>
            <w:tcMar>
              <w:top w:type="dxa" w:w="30"/>
              <w:left w:type="dxa" w:w="90"/>
              <w:bottom w:type="dxa" w:w="30"/>
              <w:right w:type="dxa" w:w="90"/>
            </w:tcMar>
            <w:vAlign w:val="top"/>
          </w:tcPr>
          <w:p>
            <w:pPr>
              <w:spacing w:after="30" w:before="0" w:line="252"/>
            </w:pPr>
            <w:r>
              <w:rPr>
                <w:b/>
                <w:bCs/>
                <w:sz w:val="16"/>
                <w:szCs w:val="16"/>
              </w:rPr>
              <w:t xml:space="preserve">A10</w:t>
            </w:r>
          </w:p>
        </w:tc>
        <w:tc>
          <w:tcPr>
            <w:tcW w:type="dxa" w:w="346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Keine Obsoleszenz- und Update-Praktiken, u. a. verschwiegene Haltbarkeitsbegrenzung, falsche Haltbarkeits- oder Reparatur­aussagen, als notwendig dargestellte Updates, vorzeitiger Austausch von Verbrauchsmaterial.</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Anhang I Nr. 23d–23j</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Anhang Nr. 23d UWG (sieben Fallgruppen gebündelt)</w:t>
            </w:r>
          </w:p>
        </w:tc>
        <w:tc>
          <w:tcPr>
            <w:tcW w:type="dxa" w:w="231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Per-se-Verbote; betreffen Produktentwicklung und After-Sales.</w:t>
            </w:r>
          </w:p>
        </w:tc>
      </w:tr>
      <w:tr>
        <w:trPr>
          <w:cantSplit/>
        </w:trPr>
        <w:tc>
          <w:tcPr>
            <w:tcW w:type="dxa" w:w="578"/>
            <w:tcMar>
              <w:top w:type="dxa" w:w="30"/>
              <w:left w:type="dxa" w:w="90"/>
              <w:bottom w:type="dxa" w:w="30"/>
              <w:right w:type="dxa" w:w="90"/>
            </w:tcMar>
            <w:vAlign w:val="top"/>
          </w:tcPr>
          <w:p>
            <w:pPr>
              <w:spacing w:after="30" w:before="0" w:line="252"/>
            </w:pPr>
            <w:r>
              <w:rPr>
                <w:b/>
                <w:bCs/>
                <w:sz w:val="16"/>
                <w:szCs w:val="16"/>
              </w:rPr>
              <w:t xml:space="preserve">A11</w:t>
            </w:r>
          </w:p>
        </w:tc>
        <w:tc>
          <w:tcPr>
            <w:tcW w:type="dxa" w:w="3469"/>
            <w:tcMar>
              <w:top w:type="dxa" w:w="30"/>
              <w:left w:type="dxa" w:w="90"/>
              <w:bottom w:type="dxa" w:w="30"/>
              <w:right w:type="dxa" w:w="90"/>
            </w:tcMar>
            <w:vAlign w:val="top"/>
          </w:tcPr>
          <w:p>
            <w:pPr>
              <w:spacing w:after="30" w:before="0" w:line="252"/>
            </w:pPr>
            <w:r>
              <w:rPr>
                <w:b w:val="false"/>
                <w:bCs w:val="false"/>
                <w:sz w:val="16"/>
                <w:szCs w:val="16"/>
              </w:rPr>
              <w:t xml:space="preserve">Vorvertragliche Informationen: harmonisierter Hinweis zur gesetzlichen Gewährleistung; harmonisiertes Label, wenn der Hersteller eine gewerbliche Haltbarkeits­garantie (mehr als zwei Jahre, ganze Ware, ohne Zusatzkosten) gewährt und dem Händler die Information bereitstellt; Mindestdauer von Software-Updates, Reparierbarkeits­bewertung bzw. Reparatur- und Ersatzteil­informationen, jeweils soweit einschlägig oder vom Hersteller bereitgestellt; umweltfreundliche Lieferoptionen, sofern verfügbar.</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VRRL Art. 5, 6, 22a; DVO (EU) 2025/1960 </w:t>
            </w:r>
            <w:r>
              <w:rPr>
                <w:b w:val="false"/>
                <w:bCs w:val="false"/>
                <w:color w:val="5E6B78"/>
                <w:sz w:val="13"/>
                <w:szCs w:val="13"/>
              </w:rPr>
              <w:t xml:space="preserve">[R6]</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Art. 246, 246a EGBGB (BGBl. 2026 I Nr. 28)</w:t>
            </w:r>
          </w:p>
        </w:tc>
        <w:tc>
          <w:tcPr>
            <w:tcW w:type="dxa" w:w="2315"/>
            <w:tcMar>
              <w:top w:type="dxa" w:w="30"/>
              <w:left w:type="dxa" w:w="90"/>
              <w:bottom w:type="dxa" w:w="30"/>
              <w:right w:type="dxa" w:w="90"/>
            </w:tcMar>
            <w:vAlign w:val="top"/>
          </w:tcPr>
          <w:p>
            <w:pPr>
              <w:spacing w:after="30" w:before="0" w:line="252"/>
            </w:pPr>
            <w:r>
              <w:rPr>
                <w:b w:val="false"/>
                <w:bCs w:val="false"/>
                <w:sz w:val="16"/>
                <w:szCs w:val="16"/>
              </w:rPr>
              <w:t xml:space="preserve">Stamm­daten­pflicht in Shop und Geschäft; hängt teilweise an Hersteller­daten </w:t>
            </w:r>
            <w:r>
              <w:rPr>
                <w:b w:val="false"/>
                <w:bCs w:val="false"/>
                <w:color w:val="5E6B78"/>
                <w:sz w:val="13"/>
                <w:szCs w:val="13"/>
              </w:rPr>
              <w:t xml:space="preserve">[L8][L9]</w:t>
            </w:r>
            <w:r>
              <w:rPr>
                <w:b w:val="false"/>
                <w:bCs w:val="false"/>
                <w:sz w:val="16"/>
                <w:szCs w:val="16"/>
              </w:rPr>
              <w:t xml:space="preserve">. Keine Pflicht, umweltfreundliche Lieferung anzubieten.</w:t>
            </w:r>
          </w:p>
        </w:tc>
      </w:tr>
      <w:tr>
        <w:trPr>
          <w:cantSplit/>
        </w:trPr>
        <w:tc>
          <w:tcPr>
            <w:tcW w:type="dxa" w:w="578"/>
            <w:shd w:fill="F3F5F7" w:color="auto" w:val="clear"/>
            <w:tcMar>
              <w:top w:type="dxa" w:w="30"/>
              <w:left w:type="dxa" w:w="90"/>
              <w:bottom w:type="dxa" w:w="30"/>
              <w:right w:type="dxa" w:w="90"/>
            </w:tcMar>
            <w:vAlign w:val="top"/>
          </w:tcPr>
          <w:p>
            <w:pPr>
              <w:spacing w:after="30" w:before="0" w:line="252"/>
            </w:pPr>
            <w:r>
              <w:rPr>
                <w:b/>
                <w:bCs/>
                <w:sz w:val="16"/>
                <w:szCs w:val="16"/>
              </w:rPr>
              <w:t xml:space="preserve">A12</w:t>
            </w:r>
          </w:p>
        </w:tc>
        <w:tc>
          <w:tcPr>
            <w:tcW w:type="dxa" w:w="346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Nachweis­fähigkeit: Gerichte können Belege für Tatsachenbehauptungen verlangen und unbelegte Aussagen als unrichtig behandeln. Bei Nr. 4a muss der Unternehmer die Spitzenleistung „nachweisen können“.</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Art. 12 UGP-RL; Anhang I Nr. 4a</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Prozessrecht; sekundäre Darlegungslast (RB Kap. 3.12) </w:t>
            </w:r>
            <w:r>
              <w:rPr>
                <w:b w:val="false"/>
                <w:bCs w:val="false"/>
                <w:color w:val="5E6B78"/>
                <w:sz w:val="13"/>
                <w:szCs w:val="13"/>
              </w:rPr>
              <w:t xml:space="preserve">[I1]</w:t>
            </w:r>
          </w:p>
        </w:tc>
        <w:tc>
          <w:tcPr>
            <w:tcW w:type="dxa" w:w="231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Keine eigene Dokumentations­pflicht, aber faktische Beweislast.</w:t>
            </w:r>
          </w:p>
        </w:tc>
      </w:tr>
      <w:tr>
        <w:trPr>
          <w:cantSplit/>
        </w:trPr>
        <w:tc>
          <w:tcPr>
            <w:tcW w:type="dxa" w:w="578"/>
            <w:tcMar>
              <w:top w:type="dxa" w:w="30"/>
              <w:left w:type="dxa" w:w="90"/>
              <w:bottom w:type="dxa" w:w="30"/>
              <w:right w:type="dxa" w:w="90"/>
            </w:tcMar>
            <w:vAlign w:val="top"/>
          </w:tcPr>
          <w:p>
            <w:pPr>
              <w:spacing w:after="30" w:before="0" w:line="252"/>
            </w:pPr>
            <w:r>
              <w:rPr>
                <w:b/>
                <w:bCs/>
                <w:sz w:val="16"/>
                <w:szCs w:val="16"/>
              </w:rPr>
              <w:t xml:space="preserve">A13</w:t>
            </w:r>
          </w:p>
        </w:tc>
        <w:tc>
          <w:tcPr>
            <w:tcW w:type="dxa" w:w="3469"/>
            <w:tcMar>
              <w:top w:type="dxa" w:w="30"/>
              <w:left w:type="dxa" w:w="90"/>
              <w:bottom w:type="dxa" w:w="30"/>
              <w:right w:type="dxa" w:w="90"/>
            </w:tcMar>
            <w:vAlign w:val="top"/>
          </w:tcPr>
          <w:p>
            <w:pPr>
              <w:spacing w:after="30" w:before="0" w:line="252"/>
            </w:pPr>
            <w:r>
              <w:rPr>
                <w:b w:val="false"/>
                <w:bCs w:val="false"/>
                <w:sz w:val="16"/>
                <w:szCs w:val="16"/>
              </w:rPr>
              <w:t xml:space="preserve">Unterlassungs- und Beseitigungsansprüche bestehen auch gegen das Unternehmen, wenn Mitarbeitende oder Beauftragte (Agenturen, Influencer) den Verstoß begehen.</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w:t>
            </w:r>
          </w:p>
        </w:tc>
        <w:tc>
          <w:tcPr>
            <w:tcW w:type="dxa" w:w="1638"/>
            <w:tcMar>
              <w:top w:type="dxa" w:w="30"/>
              <w:left w:type="dxa" w:w="90"/>
              <w:bottom w:type="dxa" w:w="30"/>
              <w:right w:type="dxa" w:w="90"/>
            </w:tcMar>
            <w:vAlign w:val="top"/>
          </w:tcPr>
          <w:p>
            <w:pPr>
              <w:spacing w:after="30" w:before="0" w:line="252"/>
            </w:pPr>
            <w:r>
              <w:rPr>
                <w:b w:val="false"/>
                <w:bCs w:val="false"/>
                <w:sz w:val="16"/>
                <w:szCs w:val="16"/>
              </w:rPr>
              <w:t xml:space="preserve">§ 8 Abs. 2 UWG</w:t>
            </w:r>
          </w:p>
        </w:tc>
        <w:tc>
          <w:tcPr>
            <w:tcW w:type="dxa" w:w="2315"/>
            <w:tcMar>
              <w:top w:type="dxa" w:w="30"/>
              <w:left w:type="dxa" w:w="90"/>
              <w:bottom w:type="dxa" w:w="30"/>
              <w:right w:type="dxa" w:w="90"/>
            </w:tcMar>
            <w:vAlign w:val="top"/>
          </w:tcPr>
          <w:p>
            <w:pPr>
              <w:spacing w:after="30" w:before="0" w:line="252"/>
            </w:pPr>
            <w:r>
              <w:rPr>
                <w:b w:val="false"/>
                <w:bCs w:val="false"/>
                <w:sz w:val="16"/>
                <w:szCs w:val="16"/>
              </w:rPr>
              <w:t xml:space="preserve">Bestehendes Recht. Wirkt stärker, weil Claims verteilt entstehen.</w:t>
            </w:r>
          </w:p>
        </w:tc>
      </w:tr>
      <w:tr>
        <w:trPr>
          <w:cantSplit/>
        </w:trPr>
        <w:tc>
          <w:tcPr>
            <w:tcW w:type="dxa" w:w="578"/>
            <w:shd w:fill="F3F5F7" w:color="auto" w:val="clear"/>
            <w:tcMar>
              <w:top w:type="dxa" w:w="30"/>
              <w:left w:type="dxa" w:w="90"/>
              <w:bottom w:type="dxa" w:w="30"/>
              <w:right w:type="dxa" w:w="90"/>
            </w:tcMar>
            <w:vAlign w:val="top"/>
          </w:tcPr>
          <w:p>
            <w:pPr>
              <w:spacing w:after="30" w:before="0" w:line="252"/>
            </w:pPr>
            <w:r>
              <w:rPr>
                <w:b/>
                <w:bCs/>
                <w:sz w:val="16"/>
                <w:szCs w:val="16"/>
              </w:rPr>
              <w:t xml:space="preserve">A14</w:t>
            </w:r>
          </w:p>
        </w:tc>
        <w:tc>
          <w:tcPr>
            <w:tcW w:type="dxa" w:w="346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Altbestände: EmpCo gilt ohne Übergangsfrist. Für vor dem 27.09.2026 in Verkehr gebrachte Waren ist eine Verhältnismäßigkeits­regel beschlossen, aber noch nicht in Kraft.</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keine Übergangs­regel; CPC Common Understanding </w:t>
            </w:r>
            <w:r>
              <w:rPr>
                <w:b w:val="false"/>
                <w:bCs w:val="false"/>
                <w:color w:val="5E6B78"/>
                <w:sz w:val="13"/>
                <w:szCs w:val="13"/>
              </w:rPr>
              <w:t xml:space="preserve">[B3]</w:t>
            </w:r>
          </w:p>
        </w:tc>
        <w:tc>
          <w:tcPr>
            <w:tcW w:type="dxa" w:w="1638"/>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 15b UWG: Bundestag 24.09.2026, Bundesrat voraussichtlich 16.10.2026, rückwirkend geplant </w:t>
            </w:r>
            <w:r>
              <w:rPr>
                <w:b w:val="false"/>
                <w:bCs w:val="false"/>
                <w:color w:val="5E6B78"/>
                <w:sz w:val="13"/>
                <w:szCs w:val="13"/>
              </w:rPr>
              <w:t xml:space="preserve">[R8]</w:t>
            </w:r>
          </w:p>
        </w:tc>
        <w:tc>
          <w:tcPr>
            <w:tcW w:type="dxa" w:w="231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Nur Waren; nicht Website, Shop oder Social Media. Dokumentierte Beseitigungsbemühungen zählen in der Abwägung (RB Kap. 1.3.3) </w:t>
            </w:r>
            <w:r>
              <w:rPr>
                <w:b w:val="false"/>
                <w:bCs w:val="false"/>
                <w:color w:val="5E6B78"/>
                <w:sz w:val="13"/>
                <w:szCs w:val="13"/>
              </w:rPr>
              <w:t xml:space="preserve">[I1]</w:t>
            </w:r>
            <w:r>
              <w:rPr>
                <w:b w:val="false"/>
                <w:bCs w:val="false"/>
                <w:sz w:val="16"/>
                <w:szCs w:val="16"/>
              </w:rPr>
              <w:t xml:space="preserve">.</w:t>
            </w:r>
          </w:p>
        </w:tc>
      </w:tr>
    </w:tbl>
    <w:p>
      <w:pPr>
        <w:spacing w:after="120"/>
      </w:pPr>
    </w:p>
    <w:p>
      <w:pPr>
        <w:pStyle w:val="Heading3"/>
        <w:keepNext/>
      </w:pPr>
      <w:r>
        <w:t xml:space="preserve">Durchsetzung und Rechtsfolgen (Kontext für die Risikobewertung)</w:t>
      </w:r>
    </w:p>
    <w:p>
      <w:pPr>
        <w:pStyle w:val="ListParagraph"/>
        <w:numPr>
          <w:ilvl w:val="0"/>
          <w:numId w:val="2"/>
        </w:numPr>
        <w:spacing w:after="60" w:before="0" w:line="276"/>
      </w:pPr>
      <w:r>
        <w:t xml:space="preserve">Die Durchsetzung erfolgt überwiegend privat: Mitbewerber, Wirtschaftsverbände, qualifizierte Verbraucherverbände (u. a. die Deutsche Umwelthilfe) und Kammern (§ 8 Abs. 3 UWG) </w:t>
      </w:r>
      <w:r>
        <w:rPr>
          <w:color w:val="5E6B78"/>
          <w:sz w:val="18"/>
          <w:szCs w:val="18"/>
        </w:rPr>
        <w:t xml:space="preserve">[R4]</w:t>
      </w:r>
      <w:r>
        <w:t xml:space="preserve">. Keine Behörde prüft Claims vorab.</w:t>
      </w:r>
    </w:p>
    <w:p>
      <w:pPr>
        <w:pStyle w:val="ListParagraph"/>
        <w:numPr>
          <w:ilvl w:val="0"/>
          <w:numId w:val="2"/>
        </w:numPr>
        <w:spacing w:after="60" w:before="0" w:line="276"/>
      </w:pPr>
      <w:r>
        <w:t xml:space="preserve">Rechtsfolgen: Unterlassung und Beseitigung, bis hin zum Rückruf ausgelieferter Ware; strafbewehrte Unterlassungserklärung mit Vertragsstrafe, typisch 5.000 € und mehr je Wiederholung </w:t>
      </w:r>
      <w:r>
        <w:rPr>
          <w:color w:val="5E6B78"/>
          <w:sz w:val="18"/>
          <w:szCs w:val="18"/>
        </w:rPr>
        <w:t xml:space="preserve">[L10]</w:t>
      </w:r>
      <w:r>
        <w:t xml:space="preserve">; Ordnungsgeld bis 250.000 € je Zuwiderhandlung (§ 890 ZPO) </w:t>
      </w:r>
      <w:r>
        <w:rPr>
          <w:color w:val="5E6B78"/>
          <w:sz w:val="18"/>
          <w:szCs w:val="18"/>
        </w:rPr>
        <w:t xml:space="preserve">[R16]</w:t>
      </w:r>
      <w:r>
        <w:t xml:space="preserve">; Abmahnkosten; bei Vorsatz Gewinnabschöpfung (§ 10 UWG); Schadensersatz von Verbrauchern (§ 9 Abs. 2 UWG) (RB Kap. 1.5) </w:t>
      </w:r>
      <w:r>
        <w:rPr>
          <w:color w:val="5E6B78"/>
          <w:sz w:val="18"/>
          <w:szCs w:val="18"/>
        </w:rPr>
        <w:t xml:space="preserve">[I1]</w:t>
      </w:r>
      <w:r>
        <w:t xml:space="preserve">.</w:t>
      </w:r>
    </w:p>
    <w:p>
      <w:pPr>
        <w:pStyle w:val="ListParagraph"/>
        <w:numPr>
          <w:ilvl w:val="0"/>
          <w:numId w:val="2"/>
        </w:numPr>
        <w:spacing w:after="60" w:before="0" w:line="276"/>
      </w:pPr>
      <w:r>
        <w:t xml:space="preserve">Bußgelder nach § 19 UWG gibt es nur bei grenzüberschreitenden, koordinierten CPC-Aktionen; für typische KMU sind sie kaum relevant (RB Kap. 9.3) </w:t>
      </w:r>
      <w:r>
        <w:rPr>
          <w:color w:val="5E6B78"/>
          <w:sz w:val="18"/>
          <w:szCs w:val="18"/>
        </w:rPr>
        <w:t xml:space="preserve">[I1]</w:t>
      </w:r>
      <w:r>
        <w:t xml:space="preserve">.</w:t>
      </w:r>
    </w:p>
    <w:p>
      <w:pPr>
        <w:pStyle w:val="ListParagraph"/>
        <w:numPr>
          <w:ilvl w:val="0"/>
          <w:numId w:val="2"/>
        </w:numPr>
        <w:spacing w:after="60" w:before="0" w:line="276"/>
      </w:pPr>
      <w:r>
        <w:t xml:space="preserve">Praxisdruck: Die Deutsche Umwelthilfe meldet 92 Verfahren wegen „klimaneutral“-Werbung seit Mai 2022 </w:t>
      </w:r>
      <w:r>
        <w:rPr>
          <w:color w:val="5E6B78"/>
          <w:sz w:val="18"/>
          <w:szCs w:val="18"/>
        </w:rPr>
        <w:t xml:space="preserve">[L12]</w:t>
      </w:r>
      <w:r>
        <w:t xml:space="preserve">. Eine Auswertung von 476 Websites sieben Wochen vor dem Stichtag fand bei 176 von 345 Firmen mit Nachhaltigkeitsaussagen (51 %) mindestens einen Verstoß </w:t>
      </w:r>
      <w:r>
        <w:rPr>
          <w:color w:val="5E6B78"/>
          <w:sz w:val="18"/>
          <w:szCs w:val="18"/>
        </w:rPr>
        <w:t xml:space="preserve">[L11]</w:t>
      </w:r>
      <w:r>
        <w:t xml:space="preserve">.</w:t>
      </w:r>
    </w:p>
    <w:p>
      <w:pPr>
        <w:pStyle w:val="ListParagraph"/>
        <w:numPr>
          <w:ilvl w:val="0"/>
          <w:numId w:val="2"/>
        </w:numPr>
        <w:spacing w:after="60" w:before="0" w:line="276"/>
      </w:pPr>
      <w:r>
        <w:t xml:space="preserve">Rechtsprechung: Der BGH verlangt, dass mehrdeutige Umweltbegriffe wie „klimaneutral“ in der Werbung selbst erläutert werden, und legt strenge Maßstäbe wie bei gesundheitsbezogener Werbung an (BGH, 27.06.2024 – I ZR 98/23) </w:t>
      </w:r>
      <w:r>
        <w:rPr>
          <w:color w:val="5E6B78"/>
          <w:sz w:val="18"/>
          <w:szCs w:val="18"/>
        </w:rPr>
        <w:t xml:space="preserve">[R14]</w:t>
      </w:r>
      <w:r>
        <w:t xml:space="preserve">.</w:t>
      </w:r>
    </w:p>
    <w:p>
      <w:pPr>
        <w:spacing w:after="40"/>
      </w:pPr>
    </w:p>
    <w:p>
      <w:pPr>
        <w:pStyle w:val="Heading1"/>
        <w:keepNext/>
        <w:pageBreakBefore/>
      </w:pPr>
      <w:r>
        <w:t xml:space="preserve">3 Die Organisationspflicht als Brücke</w:t>
      </w:r>
    </w:p>
    <w:p>
      <w:pPr>
        <w:spacing w:after="120" w:before="0" w:line="276"/>
      </w:pPr>
      <w:r>
        <w:t xml:space="preserve">Weil EmpCo selbst keine Systempflicht enthält, stellt sich die Frage, woraus sich eine Pflicht zur Anpassung von CMS, RMS und IKS ergibt. Die Antwort liegt im allgemeinen Gesellschafts- und Aufsichtsrecht. Es verlangt kein bestimmtes System, wohl aber eine Organisation, die der Risikolage entspricht.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023"/>
        <w:gridCol w:w="3084"/>
        <w:gridCol w:w="3373"/>
        <w:gridCol w:w="1158"/>
      </w:tblGrid>
      <w:tr>
        <w:trPr>
          <w:cantSplit/>
          <w:tblHeader/>
        </w:trPr>
        <w:tc>
          <w:tcPr>
            <w:tcW w:type="dxa" w:w="202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Grundlage</w:t>
            </w:r>
          </w:p>
        </w:tc>
        <w:tc>
          <w:tcPr>
            <w:tcW w:type="dxa" w:w="3084"/>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Inhalt</w:t>
            </w:r>
          </w:p>
        </w:tc>
        <w:tc>
          <w:tcPr>
            <w:tcW w:type="dxa" w:w="337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Bedeutung für EmpCo</w:t>
            </w:r>
          </w:p>
        </w:tc>
        <w:tc>
          <w:tcPr>
            <w:tcW w:type="dxa" w:w="115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Kennz.</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 93 Abs. 1 AktG, § 43 Abs. 1 GmbHG </w:t>
            </w:r>
            <w:r>
              <w:rPr>
                <w:b/>
                <w:bCs/>
                <w:color w:val="5E6B78"/>
                <w:sz w:val="14"/>
                <w:szCs w:val="14"/>
              </w:rPr>
              <w:t xml:space="preserve">[R9]</w:t>
            </w:r>
          </w:p>
        </w:tc>
        <w:tc>
          <w:tcPr>
            <w:tcW w:type="dxa" w:w="3084"/>
            <w:tcMar>
              <w:top w:type="dxa" w:w="50"/>
              <w:left w:type="dxa" w:w="90"/>
              <w:bottom w:type="dxa" w:w="50"/>
              <w:right w:type="dxa" w:w="90"/>
            </w:tcMar>
            <w:vAlign w:val="top"/>
          </w:tcPr>
          <w:p>
            <w:pPr>
              <w:spacing w:after="30" w:before="0" w:line="252"/>
            </w:pPr>
            <w:r>
              <w:rPr>
                <w:b w:val="false"/>
                <w:bCs w:val="false"/>
                <w:sz w:val="17"/>
                <w:szCs w:val="17"/>
              </w:rPr>
              <w:t xml:space="preserve">Sorgfalts­pflicht der Geschäfts­leitung einschließlich Legalitäts­pflicht: Das Unternehmen muss sich rechtmäßig verhalten; die Leitung muss dafür organisatorisch sorgen.</w:t>
            </w:r>
          </w:p>
        </w:tc>
        <w:tc>
          <w:tcPr>
            <w:tcW w:type="dxa" w:w="3373"/>
            <w:tcMar>
              <w:top w:type="dxa" w:w="50"/>
              <w:left w:type="dxa" w:w="90"/>
              <w:bottom w:type="dxa" w:w="50"/>
              <w:right w:type="dxa" w:w="90"/>
            </w:tcMar>
            <w:vAlign w:val="top"/>
          </w:tcPr>
          <w:p>
            <w:pPr>
              <w:spacing w:after="30" w:before="0" w:line="252"/>
            </w:pPr>
            <w:r>
              <w:rPr>
                <w:b w:val="false"/>
                <w:bCs w:val="false"/>
                <w:sz w:val="17"/>
                <w:szCs w:val="17"/>
              </w:rPr>
              <w:t xml:space="preserve">Kernbrücke. Wer gegenüber Verbrauchern mit Umwelt-, Sozial- oder Haltbarkeits­aussagen wirbt, muss die Einhaltung der Verbote organisatorisch sicherstellen. Art und Umfang liegen im Leitungsermessen.</w:t>
            </w:r>
          </w:p>
        </w:tc>
        <w:tc>
          <w:tcPr>
            <w:tcW w:type="dxa" w:w="1158"/>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 Ergebnis</w:t>
            </w:r>
          </w:p>
          <w:p>
            <w:pPr>
              <w:spacing w:after="30" w:before="0" w:line="252"/>
            </w:pPr>
            <w:r>
              <w:rPr>
                <w:b/>
                <w:bCs/>
                <w:color w:val="1F6F63"/>
                <w:sz w:val="15"/>
                <w:szCs w:val="15"/>
              </w:rPr>
              <w:t xml:space="preserve">[Organisation]</w:t>
            </w:r>
            <w:r>
              <w:rPr>
                <w:b w:val="false"/>
                <w:bCs w:val="false"/>
                <w:sz w:val="17"/>
                <w:szCs w:val="17"/>
              </w:rPr>
              <w:t xml:space="preserve"> Mittel</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LG München I, 10.12.2013 – 5 HK O 1387/10 </w:t>
            </w:r>
            <w:r>
              <w:rPr>
                <w:b/>
                <w:bCs/>
                <w:color w:val="5E6B78"/>
                <w:sz w:val="14"/>
                <w:szCs w:val="14"/>
              </w:rPr>
              <w:t xml:space="preserve">[R13]</w:t>
            </w:r>
          </w:p>
        </w:tc>
        <w:tc>
          <w:tcPr>
            <w:tcW w:type="dxa" w:w="308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Bei entsprechender Gefährdungslage muss der Vorstand eine auf Schadensprävention und Risiko­kontrolle angelegte Compliance-Organisation einrichten und ihre Wirksamkeit überwachen.</w:t>
            </w:r>
          </w:p>
        </w:tc>
        <w:tc>
          <w:tcPr>
            <w:tcW w:type="dxa" w:w="337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Maßstab ist die Gefährdungslage: Hohe Claim-Exposition (B2C, viele Kanäle, Klima- oder Umweltpositionierung) erhöht die Anforderungen.</w:t>
            </w:r>
          </w:p>
        </w:tc>
        <w:tc>
          <w:tcPr>
            <w:tcW w:type="dxa" w:w="1158"/>
            <w:shd w:fill="F3F5F7" w:color="auto" w:val="clear"/>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w:t>
            </w:r>
            <w:r>
              <w:rPr>
                <w:b/>
                <w:bCs/>
                <w:color w:val="1F6F63"/>
                <w:sz w:val="15"/>
                <w:szCs w:val="15"/>
              </w:rPr>
              <w:t xml:space="preserve">[Organisation]</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OLG Nürnberg, 30.03.2022 – 12 U 1520/19 </w:t>
            </w:r>
            <w:r>
              <w:rPr>
                <w:b/>
                <w:bCs/>
                <w:color w:val="5E6B78"/>
                <w:sz w:val="14"/>
                <w:szCs w:val="14"/>
              </w:rPr>
              <w:t xml:space="preserve">[R13]</w:t>
            </w:r>
          </w:p>
        </w:tc>
        <w:tc>
          <w:tcPr>
            <w:tcW w:type="dxa" w:w="3084"/>
            <w:tcMar>
              <w:top w:type="dxa" w:w="50"/>
              <w:left w:type="dxa" w:w="90"/>
              <w:bottom w:type="dxa" w:w="50"/>
              <w:right w:type="dxa" w:w="90"/>
            </w:tcMar>
            <w:vAlign w:val="top"/>
          </w:tcPr>
          <w:p>
            <w:pPr>
              <w:spacing w:after="30" w:before="0" w:line="252"/>
            </w:pPr>
            <w:r>
              <w:rPr>
                <w:b w:val="false"/>
                <w:bCs w:val="false"/>
                <w:sz w:val="17"/>
                <w:szCs w:val="17"/>
              </w:rPr>
              <w:t xml:space="preserve">Überträgt die Pflicht zur Compliance-Organisation auf den GmbH-Geschäftsführer; der Umfang richtet sich nach Art, Größe, Organisation und Risikolage.</w:t>
            </w:r>
          </w:p>
        </w:tc>
        <w:tc>
          <w:tcPr>
            <w:tcW w:type="dxa" w:w="3373"/>
            <w:tcMar>
              <w:top w:type="dxa" w:w="50"/>
              <w:left w:type="dxa" w:w="90"/>
              <w:bottom w:type="dxa" w:w="50"/>
              <w:right w:type="dxa" w:w="90"/>
            </w:tcMar>
            <w:vAlign w:val="top"/>
          </w:tcPr>
          <w:p>
            <w:pPr>
              <w:spacing w:after="30" w:before="0" w:line="252"/>
            </w:pPr>
            <w:r>
              <w:rPr>
                <w:b w:val="false"/>
                <w:bCs w:val="false"/>
                <w:sz w:val="17"/>
                <w:szCs w:val="17"/>
              </w:rPr>
              <w:t xml:space="preserve">Auch KMU in der Rechtsform der GmbH sind erfasst. Der Umfang ist proportional.</w:t>
            </w:r>
          </w:p>
        </w:tc>
        <w:tc>
          <w:tcPr>
            <w:tcW w:type="dxa" w:w="1158"/>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w:t>
            </w:r>
            <w:r>
              <w:rPr>
                <w:b/>
                <w:bCs/>
                <w:color w:val="1F6F63"/>
                <w:sz w:val="15"/>
                <w:szCs w:val="15"/>
              </w:rPr>
              <w:t xml:space="preserve">[Organisation]</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 130 OWiG </w:t>
            </w:r>
            <w:r>
              <w:rPr>
                <w:b/>
                <w:bCs/>
                <w:color w:val="5E6B78"/>
                <w:sz w:val="14"/>
                <w:szCs w:val="14"/>
              </w:rPr>
              <w:t xml:space="preserve">[R10]</w:t>
            </w:r>
          </w:p>
        </w:tc>
        <w:tc>
          <w:tcPr>
            <w:tcW w:type="dxa" w:w="308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Aufsichts­pflichtverletzung, wenn eine mit Strafe oder Geldbuße bedrohte Zuwiderhandlung durch gehörige Aufsicht verhindert oder wesentlich erschwert worden wäre.</w:t>
            </w:r>
          </w:p>
        </w:tc>
        <w:tc>
          <w:tcPr>
            <w:tcW w:type="dxa" w:w="337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Begrenzte Relevanz: EmpCo-Verstöße sind überwiegend zivil­rechtlich. Buß- oder strafbewehrt sind nur § 19 UWG (CPC-Fälle) und § 16 UWG (vorsätzlich unwahre Angaben).</w:t>
            </w:r>
          </w:p>
        </w:tc>
        <w:tc>
          <w:tcPr>
            <w:tcW w:type="dxa" w:w="115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 91 Abs. 2 AktG </w:t>
            </w:r>
            <w:r>
              <w:rPr>
                <w:b/>
                <w:bCs/>
                <w:color w:val="5E6B78"/>
                <w:sz w:val="14"/>
                <w:szCs w:val="14"/>
              </w:rPr>
              <w:t xml:space="preserve">[R9]</w:t>
            </w:r>
            <w:r>
              <w:rPr>
                <w:b/>
                <w:bCs/>
                <w:sz w:val="17"/>
                <w:szCs w:val="17"/>
              </w:rPr>
              <w:t xml:space="preserve">; § 1 StaRUG </w:t>
            </w:r>
            <w:r>
              <w:rPr>
                <w:b/>
                <w:bCs/>
                <w:color w:val="5E6B78"/>
                <w:sz w:val="14"/>
                <w:szCs w:val="14"/>
              </w:rPr>
              <w:t xml:space="preserve">[R11]</w:t>
            </w:r>
          </w:p>
        </w:tc>
        <w:tc>
          <w:tcPr>
            <w:tcW w:type="dxa" w:w="3084"/>
            <w:tcMar>
              <w:top w:type="dxa" w:w="50"/>
              <w:left w:type="dxa" w:w="90"/>
              <w:bottom w:type="dxa" w:w="50"/>
              <w:right w:type="dxa" w:w="90"/>
            </w:tcMar>
            <w:vAlign w:val="top"/>
          </w:tcPr>
          <w:p>
            <w:pPr>
              <w:spacing w:after="30" w:before="0" w:line="252"/>
            </w:pPr>
            <w:r>
              <w:rPr>
                <w:b w:val="false"/>
                <w:bCs w:val="false"/>
                <w:sz w:val="17"/>
                <w:szCs w:val="17"/>
              </w:rPr>
              <w:t xml:space="preserve">Früherkennung bestandsgefährdender Entwicklungen; nach § 1 StaRUG für Geschäftsleiter aller juristischen Personen.</w:t>
            </w:r>
          </w:p>
        </w:tc>
        <w:tc>
          <w:tcPr>
            <w:tcW w:type="dxa" w:w="3373"/>
            <w:tcMar>
              <w:top w:type="dxa" w:w="50"/>
              <w:left w:type="dxa" w:w="90"/>
              <w:bottom w:type="dxa" w:w="50"/>
              <w:right w:type="dxa" w:w="90"/>
            </w:tcMar>
            <w:vAlign w:val="top"/>
          </w:tcPr>
          <w:p>
            <w:pPr>
              <w:spacing w:after="30" w:before="0" w:line="252"/>
            </w:pPr>
            <w:r>
              <w:rPr>
                <w:b w:val="false"/>
                <w:bCs w:val="false"/>
                <w:sz w:val="17"/>
                <w:szCs w:val="17"/>
              </w:rPr>
              <w:t xml:space="preserve">Nur relevant, wenn Claim-Risiken bestandsgefährdend werden können, etwa bei einem Geschäftsmodell, das wesentlich auf einer jetzt unzulässigen Aussage beruht.</w:t>
            </w:r>
          </w:p>
        </w:tc>
        <w:tc>
          <w:tcPr>
            <w:tcW w:type="dxa" w:w="1158"/>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 (bedingt)</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 91 Abs. 3 AktG (FISG, seit 01.07.2021) </w:t>
            </w:r>
            <w:r>
              <w:rPr>
                <w:b/>
                <w:bCs/>
                <w:color w:val="5E6B78"/>
                <w:sz w:val="14"/>
                <w:szCs w:val="14"/>
              </w:rPr>
              <w:t xml:space="preserve">[R9]</w:t>
            </w:r>
          </w:p>
        </w:tc>
        <w:tc>
          <w:tcPr>
            <w:tcW w:type="dxa" w:w="308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Börsennotierte AG: angemessenes und wirksames IKS und RMS im Hinblick auf Umfang der Geschäftstätigkeit und Risikolage.</w:t>
            </w:r>
          </w:p>
        </w:tc>
        <w:tc>
          <w:tcPr>
            <w:tcW w:type="dxa" w:w="337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Bei börsennotierten B2C-Unternehmen müssen IKS und RMS wesentliche Claim-Risiken erfassen.</w:t>
            </w:r>
          </w:p>
        </w:tc>
        <w:tc>
          <w:tcPr>
            <w:tcW w:type="dxa" w:w="1158"/>
            <w:shd w:fill="F3F5F7" w:color="auto" w:val="clear"/>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 (bedingt)</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DCGK 2022: Grundsätze 4 und 5, Empfehlung A.3 </w:t>
            </w:r>
            <w:r>
              <w:rPr>
                <w:b/>
                <w:bCs/>
                <w:color w:val="5E6B78"/>
                <w:sz w:val="14"/>
                <w:szCs w:val="14"/>
              </w:rPr>
              <w:t xml:space="preserve">[B5]</w:t>
            </w:r>
          </w:p>
        </w:tc>
        <w:tc>
          <w:tcPr>
            <w:tcW w:type="dxa" w:w="3084"/>
            <w:tcMar>
              <w:top w:type="dxa" w:w="50"/>
              <w:left w:type="dxa" w:w="90"/>
              <w:bottom w:type="dxa" w:w="50"/>
              <w:right w:type="dxa" w:w="90"/>
            </w:tcMar>
            <w:vAlign w:val="top"/>
          </w:tcPr>
          <w:p>
            <w:pPr>
              <w:spacing w:after="30" w:before="0" w:line="252"/>
            </w:pPr>
            <w:r>
              <w:rPr>
                <w:b w:val="false"/>
                <w:bCs w:val="false"/>
                <w:sz w:val="17"/>
                <w:szCs w:val="17"/>
              </w:rPr>
              <w:t xml:space="preserve">IKS und RMS mit an der Risikolage ausgerichtetem CMS; IKS und RMS sollen, soweit nicht gesetzlich geboten, auch nachhaltigkeitsbezogene Ziele abdecken, einschließlich der Prozesse zur Erfassung und Verarbeitung nachhaltigkeitsbezogener Daten.</w:t>
            </w:r>
          </w:p>
        </w:tc>
        <w:tc>
          <w:tcPr>
            <w:tcW w:type="dxa" w:w="3373"/>
            <w:tcMar>
              <w:top w:type="dxa" w:w="50"/>
              <w:left w:type="dxa" w:w="90"/>
              <w:bottom w:type="dxa" w:w="50"/>
              <w:right w:type="dxa" w:w="90"/>
            </w:tcMar>
            <w:vAlign w:val="top"/>
          </w:tcPr>
          <w:p>
            <w:pPr>
              <w:spacing w:after="30" w:before="0" w:line="252"/>
            </w:pPr>
            <w:r>
              <w:rPr>
                <w:b w:val="false"/>
                <w:bCs w:val="false"/>
                <w:sz w:val="17"/>
                <w:szCs w:val="17"/>
              </w:rPr>
              <w:t xml:space="preserve">Empfehlung für börsennotierte Gesellschaften (Entsprechens­erklärung); Orientierung für andere Unternehmen.</w:t>
            </w:r>
          </w:p>
        </w:tc>
        <w:tc>
          <w:tcPr>
            <w:tcW w:type="dxa" w:w="1158"/>
            <w:tcMar>
              <w:top w:type="dxa" w:w="50"/>
              <w:left w:type="dxa" w:w="90"/>
              <w:bottom w:type="dxa" w:w="50"/>
              <w:right w:type="dxa" w:w="90"/>
            </w:tcMar>
            <w:vAlign w:val="top"/>
          </w:tcPr>
          <w:p>
            <w:pPr>
              <w:spacing w:after="30" w:before="0" w:line="252"/>
            </w:pPr>
            <w:r>
              <w:rPr>
                <w:b/>
                <w:bCs/>
                <w:color w:val="5B4B8A"/>
                <w:sz w:val="15"/>
                <w:szCs w:val="15"/>
              </w:rPr>
              <w:t xml:space="preserve">[Best Practice]</w:t>
            </w:r>
            <w:r>
              <w:rPr>
                <w:b w:val="false"/>
                <w:bCs w:val="false"/>
                <w:sz w:val="17"/>
                <w:szCs w:val="17"/>
              </w:rPr>
              <w:t xml:space="preserve"> für nicht börsennotierte Unternehmen</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HinSchG § 2 Abs. 1 Nr. 3 lit. n, § 12 </w:t>
            </w:r>
            <w:r>
              <w:rPr>
                <w:b/>
                <w:bCs/>
                <w:color w:val="5E6B78"/>
                <w:sz w:val="14"/>
                <w:szCs w:val="14"/>
              </w:rPr>
              <w:t xml:space="preserve">[R12]</w:t>
            </w:r>
          </w:p>
        </w:tc>
        <w:tc>
          <w:tcPr>
            <w:tcW w:type="dxa" w:w="308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Geschützt sind Hinweise auf Verstöße gegen Verbraucherschutzvorschriften, ausdrücklich auch zum Schutz vor unlauteren geschäftlichen Handlungen. Interne Meldestelle ab 50 Beschäftigten.</w:t>
            </w:r>
          </w:p>
        </w:tc>
        <w:tc>
          <w:tcPr>
            <w:tcW w:type="dxa" w:w="337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Greenwashing-Hinweise sind geschützte Meldungen. Die Meldestelle muss sie bearbeiten können.</w:t>
            </w:r>
          </w:p>
        </w:tc>
        <w:tc>
          <w:tcPr>
            <w:tcW w:type="dxa" w:w="1158"/>
            <w:shd w:fill="F3F5F7" w:color="auto" w:val="clear"/>
            <w:tcMar>
              <w:top w:type="dxa" w:w="50"/>
              <w:left w:type="dxa" w:w="90"/>
              <w:bottom w:type="dxa" w:w="50"/>
              <w:right w:type="dxa" w:w="90"/>
            </w:tcMar>
            <w:vAlign w:val="top"/>
          </w:tcPr>
          <w:p>
            <w:pPr>
              <w:spacing w:after="30" w:before="0" w:line="252"/>
            </w:pPr>
            <w:r>
              <w:rPr>
                <w:b/>
                <w:bCs/>
                <w:color w:val="B04A16"/>
                <w:sz w:val="15"/>
                <w:szCs w:val="15"/>
              </w:rPr>
              <w:t xml:space="preserve">[Pflicht]</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 289 Abs. 1 Satz 4 HGB </w:t>
            </w:r>
            <w:r>
              <w:rPr>
                <w:b/>
                <w:bCs/>
                <w:color w:val="5E6B78"/>
                <w:sz w:val="14"/>
                <w:szCs w:val="14"/>
              </w:rPr>
              <w:t xml:space="preserve">[R17]</w:t>
            </w:r>
          </w:p>
        </w:tc>
        <w:tc>
          <w:tcPr>
            <w:tcW w:type="dxa" w:w="3084"/>
            <w:tcMar>
              <w:top w:type="dxa" w:w="50"/>
              <w:left w:type="dxa" w:w="90"/>
              <w:bottom w:type="dxa" w:w="50"/>
              <w:right w:type="dxa" w:w="90"/>
            </w:tcMar>
            <w:vAlign w:val="top"/>
          </w:tcPr>
          <w:p>
            <w:pPr>
              <w:spacing w:after="30" w:before="0" w:line="252"/>
            </w:pPr>
            <w:r>
              <w:rPr>
                <w:b w:val="false"/>
                <w:bCs w:val="false"/>
                <w:sz w:val="17"/>
                <w:szCs w:val="17"/>
              </w:rPr>
              <w:t xml:space="preserve">Lagebericht: Beurteilung und Erläuterung der voraussichtlichen Entwicklung mit ihren wesentlichen Chancen und Risiken.</w:t>
            </w:r>
          </w:p>
        </w:tc>
        <w:tc>
          <w:tcPr>
            <w:tcW w:type="dxa" w:w="3373"/>
            <w:tcMar>
              <w:top w:type="dxa" w:w="50"/>
              <w:left w:type="dxa" w:w="90"/>
              <w:bottom w:type="dxa" w:w="50"/>
              <w:right w:type="dxa" w:w="90"/>
            </w:tcMar>
            <w:vAlign w:val="top"/>
          </w:tcPr>
          <w:p>
            <w:pPr>
              <w:spacing w:after="30" w:before="0" w:line="252"/>
            </w:pPr>
            <w:r>
              <w:rPr>
                <w:b w:val="false"/>
                <w:bCs w:val="false"/>
                <w:sz w:val="17"/>
                <w:szCs w:val="17"/>
              </w:rPr>
              <w:t xml:space="preserve">Wesentliche Claim-Risiken gehören in den Risiko­bericht, sofern ein Lagebericht aufzustellen ist.</w:t>
            </w:r>
          </w:p>
        </w:tc>
        <w:tc>
          <w:tcPr>
            <w:tcW w:type="dxa" w:w="1158"/>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 (bedingt)</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ISO 14001:2015, Abschnitt 7.4.1 </w:t>
            </w:r>
            <w:r>
              <w:rPr>
                <w:b/>
                <w:bCs/>
                <w:color w:val="5E6B78"/>
                <w:sz w:val="14"/>
                <w:szCs w:val="14"/>
              </w:rPr>
              <w:t xml:space="preserve">[S10]</w:t>
            </w:r>
          </w:p>
        </w:tc>
        <w:tc>
          <w:tcPr>
            <w:tcW w:type="dxa" w:w="308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Kommunizierte Umwelt­informationen müssen mit den im Umwelt­management­system erzeugten Informationen übereinstimmen und verlässlich sein.</w:t>
            </w:r>
          </w:p>
        </w:tc>
        <w:tc>
          <w:tcPr>
            <w:tcW w:type="dxa" w:w="337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Nur für Unternehmen mit ISO 14001; dann Gegenstand der Zertifizierungsaudits.</w:t>
            </w:r>
          </w:p>
        </w:tc>
        <w:tc>
          <w:tcPr>
            <w:tcW w:type="dxa" w:w="1158"/>
            <w:shd w:fill="F3F5F7" w:color="auto" w:val="clear"/>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 (bei Zertifizierung)</w:t>
            </w:r>
          </w:p>
        </w:tc>
      </w:tr>
    </w:tbl>
    <w:p>
      <w:pPr>
        <w:spacing w:after="120"/>
      </w:pPr>
    </w:p>
    <w:p>
      <w:pPr>
        <w:spacing w:after="120" w:before="0" w:line="276"/>
      </w:pPr>
      <w:r>
        <w:rPr>
          <w:b/>
          <w:bCs/>
        </w:rPr>
        <w:t xml:space="preserve">Schlussfolgerung:</w:t>
      </w:r>
      <w:r>
        <w:t xml:space="preserve"> Eine Anpassungspflicht besteht nicht wegen EmpCo selbst, sondern soweit EmpCo die Risikolage des Unternehmens verändert. Das ist bei B2C-Unternehmen mit Umwelt-, Sozial-, Haltbarkeits- oder Reparaturaussagen regelmäßig der Fall. Bei reinen B2B-Unternehmen mit geschlossenen Kanälen ist es deutlich weniger der Fall, weil dort nur § 5 UWG greift (RB Kap. 2.2) </w:t>
      </w:r>
      <w:r>
        <w:rPr>
          <w:color w:val="5E6B78"/>
          <w:sz w:val="18"/>
          <w:szCs w:val="18"/>
        </w:rPr>
        <w:t xml:space="preserve">[I1]</w:t>
      </w:r>
      <w:r>
        <w:t xml:space="preserve">. Über Art und Umfang entscheidet die Geschäftsleitung im Rahmen ihres Ermessens (§ 93 Abs. 1 Satz 2 AktG). Grundlage sollte eine dokumentierte Risikoanalyse sein </w:t>
      </w:r>
      <w:r>
        <w:rPr>
          <w:b/>
          <w:bCs/>
          <w:color w:val="1F6F63"/>
          <w:sz w:val="19"/>
          <w:szCs w:val="19"/>
        </w:rPr>
        <w:t xml:space="preserve">[Organisation]</w:t>
      </w:r>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F6F63" w:sz="24"/>
              <w:bottom w:val="none" w:color="FFFFFF" w:sz="0"/>
              <w:right w:val="none" w:color="FFFFFF" w:sz="0"/>
            </w:tcBorders>
            <w:shd w:fill="E4F1EE" w:color="auto" w:val="clear"/>
            <w:tcMar>
              <w:top w:type="dxa" w:w="140"/>
              <w:left w:type="dxa" w:w="220"/>
              <w:bottom w:type="dxa" w:w="140"/>
              <w:right w:type="dxa" w:w="220"/>
            </w:tcMar>
          </w:tcPr>
          <w:p>
            <w:pPr>
              <w:keepNext/>
              <w:spacing w:after="60"/>
            </w:pPr>
            <w:r>
              <w:rPr>
                <w:b/>
                <w:bCs/>
                <w:color w:val="1F6F63"/>
              </w:rPr>
              <w:t xml:space="preserve">Praktische Konsequenz</w:t>
            </w:r>
          </w:p>
          <w:p>
            <w:pPr>
              <w:spacing w:after="0" w:before="0" w:line="276"/>
            </w:pPr>
            <w:r>
              <w:t xml:space="preserve">Die erste Maßnahme ist keine Systemänderung, sondern eine dokumentierte </w:t>
            </w:r>
            <w:r>
              <w:rPr>
                <w:b/>
                <w:bCs/>
              </w:rPr>
              <w:t xml:space="preserve">Betroffenheitsanalyse</w:t>
            </w:r>
            <w:r>
              <w:t xml:space="preserve">: Welche Claims nutzen wir, in welchen Kanälen, gegenüber wem? Nutzen wir Siegel, Zukunftsaussagen, Vergleiche, Haltbarkeitsversprechen? Das Ergebnis bestimmt, wie viel CMS-, RMS- und IKS-Anpassung angemessen ist. Zugleich ist es der erste Organisationsnachweis der Geschäftsleitung.</w:t>
            </w:r>
          </w:p>
        </w:tc>
      </w:tr>
    </w:tbl>
    <w:p>
      <w:pPr>
        <w:spacing w:after="120"/>
      </w:pPr>
    </w:p>
    <w:p>
      <w:pPr>
        <w:pStyle w:val="Heading1"/>
        <w:keepNext/>
        <w:pageBreakBefore/>
      </w:pPr>
      <w:r>
        <w:t xml:space="preserve">4 Systemlogik: Abgrenzung von RMS, CMS und IKS</w:t>
      </w:r>
    </w:p>
    <w:p>
      <w:pPr>
        <w:spacing w:after="120" w:before="0" w:line="276"/>
      </w:pPr>
      <w:r>
        <w:t xml:space="preserve">Die drei Systeme betrachten denselben Gegenstand aus unterschiedlichen Blickwinkeln. Für EmpCo gilt die Arbeitsteilung aus dem Auftrag: Das </w:t>
      </w:r>
      <w:r>
        <w:rPr>
          <w:b/>
          <w:bCs/>
        </w:rPr>
        <w:t xml:space="preserve">RMS</w:t>
      </w:r>
      <w:r>
        <w:t xml:space="preserve"> erfasst Risiken. Das </w:t>
      </w:r>
      <w:r>
        <w:rPr>
          <w:b/>
          <w:bCs/>
        </w:rPr>
        <w:t xml:space="preserve">CMS</w:t>
      </w:r>
      <w:r>
        <w:t xml:space="preserve"> erfasst rechtliche Anforderungen und die Maßnahmen zu ihrer Einhaltung. Das </w:t>
      </w:r>
      <w:r>
        <w:rPr>
          <w:b/>
          <w:bCs/>
        </w:rPr>
        <w:t xml:space="preserve">IKS</w:t>
      </w:r>
      <w:r>
        <w:t xml:space="preserve"> erfasst die Kontrollen, mit denen diese Maßnahmen im Prozess wirksam werden.</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1542"/>
        <w:gridCol w:w="2698"/>
        <w:gridCol w:w="2698"/>
        <w:gridCol w:w="2700"/>
      </w:tblGrid>
      <w:tr>
        <w:trPr>
          <w:cantSplit/>
          <w:tblHeader/>
        </w:trPr>
        <w:tc>
          <w:tcPr>
            <w:tcW w:type="dxa" w:w="154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Kriterium</w:t>
            </w:r>
          </w:p>
        </w:tc>
        <w:tc>
          <w:tcPr>
            <w:tcW w:type="dxa" w:w="269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RMS</w:t>
            </w:r>
          </w:p>
        </w:tc>
        <w:tc>
          <w:tcPr>
            <w:tcW w:type="dxa" w:w="269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CMS</w:t>
            </w:r>
          </w:p>
        </w:tc>
        <w:tc>
          <w:tcPr>
            <w:tcW w:type="dxa" w:w="2700"/>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IKS</w:t>
            </w:r>
          </w:p>
        </w:tc>
      </w:tr>
      <w:tr>
        <w:trPr>
          <w:cantSplit/>
        </w:trPr>
        <w:tc>
          <w:tcPr>
            <w:tcW w:type="dxa" w:w="1542"/>
            <w:tcMar>
              <w:top w:type="dxa" w:w="50"/>
              <w:left w:type="dxa" w:w="90"/>
              <w:bottom w:type="dxa" w:w="50"/>
              <w:right w:type="dxa" w:w="90"/>
            </w:tcMar>
            <w:vAlign w:val="top"/>
          </w:tcPr>
          <w:p>
            <w:pPr>
              <w:spacing w:after="30" w:before="0" w:line="252"/>
            </w:pPr>
            <w:r>
              <w:rPr>
                <w:b/>
                <w:bCs/>
                <w:sz w:val="17"/>
                <w:szCs w:val="17"/>
              </w:rPr>
              <w:t xml:space="preserve">Leitfrage</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Was kann passieren, wie wahrscheinlich, wie schwer – und wie gehen wir damit um?</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Welche Regeln gelten, und wie sorgen wir dafür, dass sie eingehalten werden?</w:t>
            </w:r>
          </w:p>
        </w:tc>
        <w:tc>
          <w:tcPr>
            <w:tcW w:type="dxa" w:w="2700"/>
            <w:tcMar>
              <w:top w:type="dxa" w:w="50"/>
              <w:left w:type="dxa" w:w="90"/>
              <w:bottom w:type="dxa" w:w="50"/>
              <w:right w:type="dxa" w:w="90"/>
            </w:tcMar>
            <w:vAlign w:val="top"/>
          </w:tcPr>
          <w:p>
            <w:pPr>
              <w:spacing w:after="30" w:before="0" w:line="252"/>
            </w:pPr>
            <w:r>
              <w:rPr>
                <w:b w:val="false"/>
                <w:bCs w:val="false"/>
                <w:sz w:val="17"/>
                <w:szCs w:val="17"/>
              </w:rPr>
              <w:t xml:space="preserve">Wie stellen wir im Prozess sicher, dass jede einzelne Aussage den Regeln entspricht – und wie weisen wir das nach?</w:t>
            </w:r>
          </w:p>
        </w:tc>
      </w:tr>
      <w:tr>
        <w:trPr>
          <w:cantSplit/>
        </w:trPr>
        <w:tc>
          <w:tcPr>
            <w:tcW w:type="dxa" w:w="1542"/>
            <w:shd w:fill="F3F5F7" w:color="auto" w:val="clear"/>
            <w:tcMar>
              <w:top w:type="dxa" w:w="50"/>
              <w:left w:type="dxa" w:w="90"/>
              <w:bottom w:type="dxa" w:w="50"/>
              <w:right w:type="dxa" w:w="90"/>
            </w:tcMar>
            <w:vAlign w:val="top"/>
          </w:tcPr>
          <w:p>
            <w:pPr>
              <w:spacing w:after="30" w:before="0" w:line="252"/>
            </w:pPr>
            <w:r>
              <w:rPr>
                <w:b/>
                <w:bCs/>
                <w:sz w:val="17"/>
                <w:szCs w:val="17"/>
              </w:rPr>
              <w:t xml:space="preserve">Referenzrahmen</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IDW PS 981 (acht Grundelemente); ISO 31000:2018; COSO ERM 2017 (fünf Komponenten, 20 Prinzipien) </w:t>
            </w:r>
            <w:r>
              <w:rPr>
                <w:b w:val="false"/>
                <w:bCs w:val="false"/>
                <w:color w:val="5E6B78"/>
                <w:sz w:val="14"/>
                <w:szCs w:val="14"/>
              </w:rPr>
              <w:t xml:space="preserve">[S2][S5][S6]</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IDW PS 980 n. F. (sieben Grundelemente); ISO 37301:2021 </w:t>
            </w:r>
            <w:r>
              <w:rPr>
                <w:b w:val="false"/>
                <w:bCs w:val="false"/>
                <w:color w:val="5E6B78"/>
                <w:sz w:val="14"/>
                <w:szCs w:val="14"/>
              </w:rPr>
              <w:t xml:space="preserve">[S1][S4]</w:t>
            </w:r>
          </w:p>
        </w:tc>
        <w:tc>
          <w:tcPr>
            <w:tcW w:type="dxa" w:w="270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COSO Internal Control 2013 (fünf Komponenten, 17 Prinzipien; Ziele Operations, Reporting, Compliance); IDW PS 982; COSO ICSR 2023 </w:t>
            </w:r>
            <w:r>
              <w:rPr>
                <w:b w:val="false"/>
                <w:bCs w:val="false"/>
                <w:color w:val="5E6B78"/>
                <w:sz w:val="14"/>
                <w:szCs w:val="14"/>
              </w:rPr>
              <w:t xml:space="preserve">[S7][S3][S8]</w:t>
            </w:r>
          </w:p>
        </w:tc>
      </w:tr>
      <w:tr>
        <w:trPr>
          <w:cantSplit/>
        </w:trPr>
        <w:tc>
          <w:tcPr>
            <w:tcW w:type="dxa" w:w="1542"/>
            <w:tcMar>
              <w:top w:type="dxa" w:w="50"/>
              <w:left w:type="dxa" w:w="90"/>
              <w:bottom w:type="dxa" w:w="50"/>
              <w:right w:type="dxa" w:w="90"/>
            </w:tcMar>
            <w:vAlign w:val="top"/>
          </w:tcPr>
          <w:p>
            <w:pPr>
              <w:spacing w:after="30" w:before="0" w:line="252"/>
            </w:pPr>
            <w:r>
              <w:rPr>
                <w:b/>
                <w:bCs/>
                <w:sz w:val="17"/>
                <w:szCs w:val="17"/>
              </w:rPr>
              <w:t xml:space="preserve">Objekt bei EmpCo</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Claim-Risiko als Teil von Rechts-, Reputations-, strategischem und operativem Risiko</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Pflichten A1–A14 als Compliance-Pflichten; Claims als Compliance-Risikofeld</w:t>
            </w:r>
          </w:p>
        </w:tc>
        <w:tc>
          <w:tcPr>
            <w:tcW w:type="dxa" w:w="2700"/>
            <w:tcMar>
              <w:top w:type="dxa" w:w="50"/>
              <w:left w:type="dxa" w:w="90"/>
              <w:bottom w:type="dxa" w:w="50"/>
              <w:right w:type="dxa" w:w="90"/>
            </w:tcMar>
            <w:vAlign w:val="top"/>
          </w:tcPr>
          <w:p>
            <w:pPr>
              <w:spacing w:after="30" w:before="0" w:line="252"/>
            </w:pPr>
            <w:r>
              <w:rPr>
                <w:b w:val="false"/>
                <w:bCs w:val="false"/>
                <w:sz w:val="17"/>
                <w:szCs w:val="17"/>
              </w:rPr>
              <w:t xml:space="preserve">Der einzelne Claim und seine Evidenz als Kontrollobjekt</w:t>
            </w:r>
          </w:p>
        </w:tc>
      </w:tr>
      <w:tr>
        <w:trPr>
          <w:cantSplit/>
        </w:trPr>
        <w:tc>
          <w:tcPr>
            <w:tcW w:type="dxa" w:w="1542"/>
            <w:shd w:fill="F3F5F7" w:color="auto" w:val="clear"/>
            <w:tcMar>
              <w:top w:type="dxa" w:w="50"/>
              <w:left w:type="dxa" w:w="90"/>
              <w:bottom w:type="dxa" w:w="50"/>
              <w:right w:type="dxa" w:w="90"/>
            </w:tcMar>
            <w:vAlign w:val="top"/>
          </w:tcPr>
          <w:p>
            <w:pPr>
              <w:spacing w:after="30" w:before="0" w:line="252"/>
            </w:pPr>
            <w:r>
              <w:rPr>
                <w:b/>
                <w:bCs/>
                <w:sz w:val="17"/>
                <w:szCs w:val="17"/>
              </w:rPr>
              <w:t xml:space="preserve">Typischer Output</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Risikoinventar, Bewertung, Risiko­appetit, Frühwarn­indikatoren, Risiko­bericht</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Pflichten­register, Compliance-Risiko­analyse, Richtlinie, Rollen, Schulung, Hinweis­geber­system, Compliance-Bericht</w:t>
            </w:r>
          </w:p>
        </w:tc>
        <w:tc>
          <w:tcPr>
            <w:tcW w:type="dxa" w:w="270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Risiko-Kontroll-Matrix, Kontrollbeschreibungen, Kontroll­nachweise, Testergebnisse</w:t>
            </w:r>
          </w:p>
        </w:tc>
      </w:tr>
      <w:tr>
        <w:trPr>
          <w:cantSplit/>
        </w:trPr>
        <w:tc>
          <w:tcPr>
            <w:tcW w:type="dxa" w:w="1542"/>
            <w:tcMar>
              <w:top w:type="dxa" w:w="50"/>
              <w:left w:type="dxa" w:w="90"/>
              <w:bottom w:type="dxa" w:w="50"/>
              <w:right w:type="dxa" w:w="90"/>
            </w:tcMar>
            <w:vAlign w:val="top"/>
          </w:tcPr>
          <w:p>
            <w:pPr>
              <w:spacing w:after="30" w:before="0" w:line="252"/>
            </w:pPr>
            <w:r>
              <w:rPr>
                <w:b/>
                <w:bCs/>
                <w:sz w:val="17"/>
                <w:szCs w:val="17"/>
              </w:rPr>
              <w:t xml:space="preserve">Zyklus</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jährlich und anlassbezogen; Berichterstattung meist quartalsweise</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jährliche Risiko­analyse; laufende Programmdurchführung</w:t>
            </w:r>
          </w:p>
        </w:tc>
        <w:tc>
          <w:tcPr>
            <w:tcW w:type="dxa" w:w="2700"/>
            <w:tcMar>
              <w:top w:type="dxa" w:w="50"/>
              <w:left w:type="dxa" w:w="90"/>
              <w:bottom w:type="dxa" w:w="50"/>
              <w:right w:type="dxa" w:w="90"/>
            </w:tcMar>
            <w:vAlign w:val="top"/>
          </w:tcPr>
          <w:p>
            <w:pPr>
              <w:spacing w:after="30" w:before="0" w:line="252"/>
            </w:pPr>
            <w:r>
              <w:rPr>
                <w:b w:val="false"/>
                <w:bCs w:val="false"/>
                <w:sz w:val="17"/>
                <w:szCs w:val="17"/>
              </w:rPr>
              <w:t xml:space="preserve">je Vorgang (je Claim) und periodisch (Monitoring, Tests)</w:t>
            </w:r>
          </w:p>
        </w:tc>
      </w:tr>
      <w:tr>
        <w:trPr>
          <w:cantSplit/>
        </w:trPr>
        <w:tc>
          <w:tcPr>
            <w:tcW w:type="dxa" w:w="1542"/>
            <w:shd w:fill="F3F5F7" w:color="auto" w:val="clear"/>
            <w:tcMar>
              <w:top w:type="dxa" w:w="50"/>
              <w:left w:type="dxa" w:w="90"/>
              <w:bottom w:type="dxa" w:w="50"/>
              <w:right w:type="dxa" w:w="90"/>
            </w:tcMar>
            <w:vAlign w:val="top"/>
          </w:tcPr>
          <w:p>
            <w:pPr>
              <w:spacing w:after="30" w:before="0" w:line="252"/>
            </w:pPr>
            <w:r>
              <w:rPr>
                <w:b/>
                <w:bCs/>
                <w:sz w:val="17"/>
                <w:szCs w:val="17"/>
              </w:rPr>
              <w:t xml:space="preserve">Typischer Owner</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Risiko­management, Controlling</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Compliance-Funktion; im KMU oft Geschäfts­leitung, Legal oder QM</w:t>
            </w:r>
          </w:p>
        </w:tc>
        <w:tc>
          <w:tcPr>
            <w:tcW w:type="dxa" w:w="270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Prozess­verantwortliche (Marketing, Produkt, E-Commerce) mit IKS-Koordination</w:t>
            </w:r>
          </w:p>
        </w:tc>
      </w:tr>
      <w:tr>
        <w:trPr>
          <w:cantSplit/>
        </w:trPr>
        <w:tc>
          <w:tcPr>
            <w:tcW w:type="dxa" w:w="1542"/>
            <w:tcMar>
              <w:top w:type="dxa" w:w="50"/>
              <w:left w:type="dxa" w:w="90"/>
              <w:bottom w:type="dxa" w:w="50"/>
              <w:right w:type="dxa" w:w="90"/>
            </w:tcMar>
            <w:vAlign w:val="top"/>
          </w:tcPr>
          <w:p>
            <w:pPr>
              <w:spacing w:after="30" w:before="0" w:line="252"/>
            </w:pPr>
            <w:r>
              <w:rPr>
                <w:b/>
                <w:bCs/>
                <w:sz w:val="17"/>
                <w:szCs w:val="17"/>
              </w:rPr>
              <w:t xml:space="preserve">Linienmodell</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zweite Linie (Methode, Aggregation)</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zweite Linie (Regeln, Beratung, Überwachung)</w:t>
            </w:r>
          </w:p>
        </w:tc>
        <w:tc>
          <w:tcPr>
            <w:tcW w:type="dxa" w:w="2700"/>
            <w:tcMar>
              <w:top w:type="dxa" w:w="50"/>
              <w:left w:type="dxa" w:w="90"/>
              <w:bottom w:type="dxa" w:w="50"/>
              <w:right w:type="dxa" w:w="90"/>
            </w:tcMar>
            <w:vAlign w:val="top"/>
          </w:tcPr>
          <w:p>
            <w:pPr>
              <w:spacing w:after="30" w:before="0" w:line="252"/>
            </w:pPr>
            <w:r>
              <w:rPr>
                <w:b w:val="false"/>
                <w:bCs w:val="false"/>
                <w:sz w:val="17"/>
                <w:szCs w:val="17"/>
              </w:rPr>
              <w:t xml:space="preserve">erste Linie (Durchführung), zweite Linie (Design, Monitoring), dritte Linie (Prüfung)</w:t>
            </w:r>
          </w:p>
        </w:tc>
      </w:tr>
    </w:tbl>
    <w:p>
      <w:pPr>
        <w:spacing w:after="120"/>
      </w:pPr>
    </w:p>
    <w:p>
      <w:pPr>
        <w:pStyle w:val="Heading3"/>
        <w:keepNext/>
      </w:pPr>
      <w:r>
        <w:t xml:space="preserve">Zuordnung zum Three-Lines-Modell</w:t>
      </w:r>
    </w:p>
    <w:p>
      <w:pPr>
        <w:spacing w:after="120" w:before="0" w:line="276"/>
      </w:pPr>
      <w:r>
        <w:t xml:space="preserve">Das Three-Lines-Modell des IIA (2020) unterscheidet Rollen der ersten Linie (Leistungserbringung und Risikosteuerung im Tagesgeschäft), der zweiten Linie (Expertise, Unterstützung, Überwachung und Hinterfragen, z. B. Compliance, internes Kontrollsystem, Nachhaltigkeit) und der dritten Linie (unabhängige Prüfung durch die Interne Revision) </w:t>
      </w:r>
      <w:r>
        <w:rPr>
          <w:color w:val="5E6B78"/>
          <w:sz w:val="18"/>
          <w:szCs w:val="18"/>
        </w:rPr>
        <w:t xml:space="preserve">[S9]</w:t>
      </w:r>
      <w:r>
        <w:t xml:space="preserve">. Für Claims ergibt sich folgende Zuordnung </w:t>
      </w:r>
      <w:r>
        <w:rPr>
          <w:b/>
          <w:bCs/>
          <w:color w:val="1F6F63"/>
          <w:sz w:val="19"/>
          <w:szCs w:val="19"/>
        </w:rPr>
        <w:t xml:space="preserve">[Organisation]</w:t>
      </w:r>
      <w:r>
        <w:t xml:space="preserve">:</w:t>
      </w:r>
    </w:p>
    <w:p>
      <w:pPr>
        <w:pStyle w:val="ListParagraph"/>
        <w:numPr>
          <w:ilvl w:val="0"/>
          <w:numId w:val="2"/>
        </w:numPr>
        <w:spacing w:after="60" w:before="0" w:line="276"/>
      </w:pPr>
      <w:r>
        <w:rPr>
          <w:b/>
          <w:bCs/>
        </w:rPr>
        <w:t xml:space="preserve">Erste Linie:</w:t>
      </w:r>
      <w:r>
        <w:t xml:space="preserve"> Marketing, Produktmanagement, E-Commerce, Vertrieb und Einkauf erstellen Claims, beschaffen Evidenz und führen die Prozesskontrollen durch.</w:t>
      </w:r>
    </w:p>
    <w:p>
      <w:pPr>
        <w:pStyle w:val="ListParagraph"/>
        <w:numPr>
          <w:ilvl w:val="0"/>
          <w:numId w:val="2"/>
        </w:numPr>
        <w:spacing w:after="60" w:before="0" w:line="276"/>
      </w:pPr>
      <w:r>
        <w:rPr>
          <w:b/>
          <w:bCs/>
        </w:rPr>
        <w:t xml:space="preserve">Zweite Linie:</w:t>
      </w:r>
      <w:r>
        <w:t xml:space="preserve"> Compliance (Regeln, Freigabe von Hochrisiko-Claims, Monitoring), Risikomanagement (Bewertung, Berichterstattung), Sustainability als fachliche Prüfinstanz für Daten und Methoden, Legal als Beratung. Sustainability sollte eigene Aussagen nicht selbst freigeben (Funktionstrennung, RB Kap. 5.2) </w:t>
      </w:r>
      <w:r>
        <w:rPr>
          <w:color w:val="5E6B78"/>
          <w:sz w:val="18"/>
          <w:szCs w:val="18"/>
        </w:rPr>
        <w:t xml:space="preserve">[I1]</w:t>
      </w:r>
      <w:r>
        <w:t xml:space="preserve">.</w:t>
      </w:r>
    </w:p>
    <w:p>
      <w:pPr>
        <w:pStyle w:val="ListParagraph"/>
        <w:numPr>
          <w:ilvl w:val="0"/>
          <w:numId w:val="2"/>
        </w:numPr>
        <w:spacing w:after="60" w:before="0" w:line="276"/>
      </w:pPr>
      <w:r>
        <w:rPr>
          <w:b/>
          <w:bCs/>
        </w:rPr>
        <w:t xml:space="preserve">Dritte Linie:</w:t>
      </w:r>
      <w:r>
        <w:t xml:space="preserve"> Die Interne Revision nimmt Claims in das Prüfungsuniversum auf. Wo es keine Revision gibt, wie im KMU üblich, übernimmt ein jährlicher Review durch die Geschäftsleitung oder eine externe Stelle diese Rolle.</w:t>
      </w:r>
    </w:p>
    <w:p>
      <w:pPr>
        <w:spacing w:after="40"/>
      </w:pPr>
    </w:p>
    <w:p>
      <w:pPr>
        <w:pStyle w:val="Heading3"/>
        <w:keepNext/>
      </w:pPr>
      <w:r>
        <w:t xml:space="preserve">Wie die drei Systeme ineinandergreifen</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120"/>
        <w:gridCol w:w="1349"/>
        <w:gridCol w:w="6169"/>
      </w:tblGrid>
      <w:tr>
        <w:trPr>
          <w:cantSplit/>
          <w:tblHeader/>
        </w:trPr>
        <w:tc>
          <w:tcPr>
            <w:tcW w:type="dxa" w:w="2120"/>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Schritt</w:t>
            </w:r>
          </w:p>
        </w:tc>
        <w:tc>
          <w:tcPr>
            <w:tcW w:type="dxa" w:w="1349"/>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System</w:t>
            </w:r>
          </w:p>
        </w:tc>
        <w:tc>
          <w:tcPr>
            <w:tcW w:type="dxa" w:w="6169"/>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Beispiel (A2: allgemeine Umwelt­aussagen)</w:t>
            </w:r>
          </w:p>
        </w:tc>
      </w:tr>
      <w:tr>
        <w:trPr>
          <w:cantSplit/>
        </w:trPr>
        <w:tc>
          <w:tcPr>
            <w:tcW w:type="dxa" w:w="2120"/>
            <w:tcMar>
              <w:top w:type="dxa" w:w="50"/>
              <w:left w:type="dxa" w:w="90"/>
              <w:bottom w:type="dxa" w:w="50"/>
              <w:right w:type="dxa" w:w="90"/>
            </w:tcMar>
            <w:vAlign w:val="top"/>
          </w:tcPr>
          <w:p>
            <w:pPr>
              <w:spacing w:after="30" w:before="0" w:line="252"/>
            </w:pPr>
            <w:r>
              <w:rPr>
                <w:sz w:val="18"/>
                <w:szCs w:val="18"/>
              </w:rPr>
              <w:t xml:space="preserve">1 Pflicht erkennen</w:t>
            </w:r>
          </w:p>
        </w:tc>
        <w:tc>
          <w:tcPr>
            <w:tcW w:type="dxa" w:w="1349"/>
            <w:tcMar>
              <w:top w:type="dxa" w:w="50"/>
              <w:left w:type="dxa" w:w="90"/>
              <w:bottom w:type="dxa" w:w="50"/>
              <w:right w:type="dxa" w:w="90"/>
            </w:tcMar>
            <w:vAlign w:val="top"/>
          </w:tcPr>
          <w:p>
            <w:pPr>
              <w:spacing w:after="30" w:before="0" w:line="252"/>
            </w:pPr>
            <w:r>
              <w:rPr>
                <w:sz w:val="18"/>
                <w:szCs w:val="18"/>
              </w:rPr>
              <w:t xml:space="preserve">CMS</w:t>
            </w:r>
          </w:p>
        </w:tc>
        <w:tc>
          <w:tcPr>
            <w:tcW w:type="dxa" w:w="6169"/>
            <w:tcMar>
              <w:top w:type="dxa" w:w="50"/>
              <w:left w:type="dxa" w:w="90"/>
              <w:bottom w:type="dxa" w:w="50"/>
              <w:right w:type="dxa" w:w="90"/>
            </w:tcMar>
            <w:vAlign w:val="top"/>
          </w:tcPr>
          <w:p>
            <w:pPr>
              <w:spacing w:after="30" w:before="0" w:line="252"/>
            </w:pPr>
            <w:r>
              <w:rPr>
                <w:sz w:val="18"/>
                <w:szCs w:val="18"/>
              </w:rPr>
              <w:t xml:space="preserve">Anhang Nr. 4a UWG wird ins Pflichten­register aufgenommen und dem Risikofeld „Claims“ zugeordnet.</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sz w:val="18"/>
                <w:szCs w:val="18"/>
              </w:rPr>
              <w:t xml:space="preserve">2 Risiko bewerten</w:t>
            </w:r>
          </w:p>
        </w:tc>
        <w:tc>
          <w:tcPr>
            <w:tcW w:type="dxa" w:w="1349"/>
            <w:shd w:fill="F3F5F7" w:color="auto" w:val="clear"/>
            <w:tcMar>
              <w:top w:type="dxa" w:w="50"/>
              <w:left w:type="dxa" w:w="90"/>
              <w:bottom w:type="dxa" w:w="50"/>
              <w:right w:type="dxa" w:w="90"/>
            </w:tcMar>
            <w:vAlign w:val="top"/>
          </w:tcPr>
          <w:p>
            <w:pPr>
              <w:spacing w:after="30" w:before="0" w:line="252"/>
            </w:pPr>
            <w:r>
              <w:rPr>
                <w:sz w:val="18"/>
                <w:szCs w:val="18"/>
              </w:rPr>
              <w:t xml:space="preserve">RMS</w:t>
            </w:r>
          </w:p>
        </w:tc>
        <w:tc>
          <w:tcPr>
            <w:tcW w:type="dxa" w:w="6169"/>
            <w:shd w:fill="F3F5F7" w:color="auto" w:val="clear"/>
            <w:tcMar>
              <w:top w:type="dxa" w:w="50"/>
              <w:left w:type="dxa" w:w="90"/>
              <w:bottom w:type="dxa" w:w="50"/>
              <w:right w:type="dxa" w:w="90"/>
            </w:tcMar>
            <w:vAlign w:val="top"/>
          </w:tcPr>
          <w:p>
            <w:pPr>
              <w:spacing w:after="30" w:before="0" w:line="252"/>
            </w:pPr>
            <w:r>
              <w:rPr>
                <w:sz w:val="18"/>
                <w:szCs w:val="18"/>
              </w:rPr>
              <w:t xml:space="preserve">Eintrittswahrscheinlichkeit hoch (per se, öffentlich sichtbar), Auswirkung mittel bis hoch; Risiko­appetit: keine allgemeinen Umwelt­aussagen ohne Spitzenleistung.</w:t>
            </w:r>
          </w:p>
        </w:tc>
      </w:tr>
      <w:tr>
        <w:trPr>
          <w:cantSplit/>
        </w:trPr>
        <w:tc>
          <w:tcPr>
            <w:tcW w:type="dxa" w:w="2120"/>
            <w:tcMar>
              <w:top w:type="dxa" w:w="50"/>
              <w:left w:type="dxa" w:w="90"/>
              <w:bottom w:type="dxa" w:w="50"/>
              <w:right w:type="dxa" w:w="90"/>
            </w:tcMar>
            <w:vAlign w:val="top"/>
          </w:tcPr>
          <w:p>
            <w:pPr>
              <w:spacing w:after="30" w:before="0" w:line="252"/>
            </w:pPr>
            <w:r>
              <w:rPr>
                <w:sz w:val="18"/>
                <w:szCs w:val="18"/>
              </w:rPr>
              <w:t xml:space="preserve">3 Regel setzen</w:t>
            </w:r>
          </w:p>
        </w:tc>
        <w:tc>
          <w:tcPr>
            <w:tcW w:type="dxa" w:w="1349"/>
            <w:tcMar>
              <w:top w:type="dxa" w:w="50"/>
              <w:left w:type="dxa" w:w="90"/>
              <w:bottom w:type="dxa" w:w="50"/>
              <w:right w:type="dxa" w:w="90"/>
            </w:tcMar>
            <w:vAlign w:val="top"/>
          </w:tcPr>
          <w:p>
            <w:pPr>
              <w:spacing w:after="30" w:before="0" w:line="252"/>
            </w:pPr>
            <w:r>
              <w:rPr>
                <w:sz w:val="18"/>
                <w:szCs w:val="18"/>
              </w:rPr>
              <w:t xml:space="preserve">CMS</w:t>
            </w:r>
          </w:p>
        </w:tc>
        <w:tc>
          <w:tcPr>
            <w:tcW w:type="dxa" w:w="6169"/>
            <w:tcMar>
              <w:top w:type="dxa" w:w="50"/>
              <w:left w:type="dxa" w:w="90"/>
              <w:bottom w:type="dxa" w:w="50"/>
              <w:right w:type="dxa" w:w="90"/>
            </w:tcMar>
            <w:vAlign w:val="top"/>
          </w:tcPr>
          <w:p>
            <w:pPr>
              <w:spacing w:after="30" w:before="0" w:line="252"/>
            </w:pPr>
            <w:r>
              <w:rPr>
                <w:sz w:val="18"/>
                <w:szCs w:val="18"/>
              </w:rPr>
              <w:t xml:space="preserve">Claims-Richtlinie mit Negativliste; Freigabe­pflicht vor Veröffentlichung; Schulung der Autoren.</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sz w:val="18"/>
                <w:szCs w:val="18"/>
              </w:rPr>
              <w:t xml:space="preserve">4 Kontrolle durchführen</w:t>
            </w:r>
          </w:p>
        </w:tc>
        <w:tc>
          <w:tcPr>
            <w:tcW w:type="dxa" w:w="1349"/>
            <w:shd w:fill="F3F5F7" w:color="auto" w:val="clear"/>
            <w:tcMar>
              <w:top w:type="dxa" w:w="50"/>
              <w:left w:type="dxa" w:w="90"/>
              <w:bottom w:type="dxa" w:w="50"/>
              <w:right w:type="dxa" w:w="90"/>
            </w:tcMar>
            <w:vAlign w:val="top"/>
          </w:tcPr>
          <w:p>
            <w:pPr>
              <w:spacing w:after="30" w:before="0" w:line="252"/>
            </w:pPr>
            <w:r>
              <w:rPr>
                <w:sz w:val="18"/>
                <w:szCs w:val="18"/>
              </w:rPr>
              <w:t xml:space="preserve">IKS</w:t>
            </w:r>
          </w:p>
        </w:tc>
        <w:tc>
          <w:tcPr>
            <w:tcW w:type="dxa" w:w="6169"/>
            <w:shd w:fill="F3F5F7" w:color="auto" w:val="clear"/>
            <w:tcMar>
              <w:top w:type="dxa" w:w="50"/>
              <w:left w:type="dxa" w:w="90"/>
              <w:bottom w:type="dxa" w:w="50"/>
              <w:right w:type="dxa" w:w="90"/>
            </w:tcMar>
            <w:vAlign w:val="top"/>
          </w:tcPr>
          <w:p>
            <w:pPr>
              <w:spacing w:after="30" w:before="0" w:line="252"/>
            </w:pPr>
            <w:r>
              <w:rPr>
                <w:sz w:val="18"/>
                <w:szCs w:val="18"/>
              </w:rPr>
              <w:t xml:space="preserve">Negativlisten-Prüfung bei jeder Freigabe; Kanal-Scan pro Quartal; Nachweis im Register.</w:t>
            </w:r>
          </w:p>
        </w:tc>
      </w:tr>
      <w:tr>
        <w:trPr>
          <w:cantSplit/>
        </w:trPr>
        <w:tc>
          <w:tcPr>
            <w:tcW w:type="dxa" w:w="2120"/>
            <w:tcMar>
              <w:top w:type="dxa" w:w="50"/>
              <w:left w:type="dxa" w:w="90"/>
              <w:bottom w:type="dxa" w:w="50"/>
              <w:right w:type="dxa" w:w="90"/>
            </w:tcMar>
            <w:vAlign w:val="top"/>
          </w:tcPr>
          <w:p>
            <w:pPr>
              <w:spacing w:after="30" w:before="0" w:line="252"/>
            </w:pPr>
            <w:r>
              <w:rPr>
                <w:sz w:val="18"/>
                <w:szCs w:val="18"/>
              </w:rPr>
              <w:t xml:space="preserve">5 Rückmeldung</w:t>
            </w:r>
          </w:p>
        </w:tc>
        <w:tc>
          <w:tcPr>
            <w:tcW w:type="dxa" w:w="1349"/>
            <w:tcMar>
              <w:top w:type="dxa" w:w="50"/>
              <w:left w:type="dxa" w:w="90"/>
              <w:bottom w:type="dxa" w:w="50"/>
              <w:right w:type="dxa" w:w="90"/>
            </w:tcMar>
            <w:vAlign w:val="top"/>
          </w:tcPr>
          <w:p>
            <w:pPr>
              <w:spacing w:after="30" w:before="0" w:line="252"/>
            </w:pPr>
            <w:r>
              <w:rPr>
                <w:sz w:val="18"/>
                <w:szCs w:val="18"/>
              </w:rPr>
              <w:t xml:space="preserve">IKS → CMS, RMS</w:t>
            </w:r>
          </w:p>
        </w:tc>
        <w:tc>
          <w:tcPr>
            <w:tcW w:type="dxa" w:w="6169"/>
            <w:tcMar>
              <w:top w:type="dxa" w:w="50"/>
              <w:left w:type="dxa" w:w="90"/>
              <w:bottom w:type="dxa" w:w="50"/>
              <w:right w:type="dxa" w:w="90"/>
            </w:tcMar>
            <w:vAlign w:val="top"/>
          </w:tcPr>
          <w:p>
            <w:pPr>
              <w:spacing w:after="30" w:before="0" w:line="252"/>
            </w:pPr>
            <w:r>
              <w:rPr>
                <w:sz w:val="18"/>
                <w:szCs w:val="18"/>
              </w:rPr>
              <w:t xml:space="preserve">Funde und Kontrollschwächen gehen an Compliance (Verbesserung) und an das Risiko­management (Ereignis, Kalibrierung).</w:t>
            </w:r>
          </w:p>
        </w:tc>
      </w:tr>
    </w:tbl>
    <w:p>
      <w:pPr>
        <w:spacing w:after="120"/>
      </w:pPr>
    </w:p>
    <w:p>
      <w:pPr>
        <w:pStyle w:val="Heading1"/>
        <w:keepNext/>
        <w:pageBreakBefore/>
      </w:pPr>
      <w:r>
        <w:t xml:space="preserve">5 Compliance-Management-System (CMS)</w:t>
      </w:r>
    </w:p>
    <w:p>
      <w:pPr>
        <w:pStyle w:val="Heading2"/>
        <w:keepNext/>
      </w:pPr>
      <w:r>
        <w:t xml:space="preserve">5.1 Bisherige Funktion</w:t>
      </w:r>
    </w:p>
    <w:p>
      <w:pPr>
        <w:spacing w:after="120" w:before="0" w:line="276"/>
      </w:pPr>
      <w:r>
        <w:t xml:space="preserve">Ein CMS umfasst die Grundsätze und Maßnahmen, mit denen ein Unternehmen regelkonformes Verhalten sicherstellt. IDW PS 980 n. F. (2022) gliedert es in sieben Grundelemente: Compliance-Kultur, Compliance-Ziele, Compliance-Organisation, Compliance-Risiken, Compliance-Programm, Compliance-Kommunikation sowie Compliance-Überwachung und Verbesserung </w:t>
      </w:r>
      <w:r>
        <w:rPr>
          <w:color w:val="5E6B78"/>
          <w:sz w:val="18"/>
          <w:szCs w:val="18"/>
        </w:rPr>
        <w:t xml:space="preserve">[S1]</w:t>
      </w:r>
      <w:r>
        <w:t xml:space="preserve">. ISO 37301:2021 ist ein zertifizierbarer Anforderungsstandard für Organisationen jeder Art und Größe. Er verlangt unter anderem, die Compliance-Pflichten zu ermitteln (Abschnitt 4.5) und die Compliance-Risiken zu beurteilen (Abschnitt 4.6) </w:t>
      </w:r>
      <w:r>
        <w:rPr>
          <w:color w:val="5E6B78"/>
          <w:sz w:val="18"/>
          <w:szCs w:val="18"/>
        </w:rPr>
        <w:t xml:space="preserve">[S4]</w:t>
      </w:r>
      <w:r>
        <w:t xml:space="preserve">.</w:t>
      </w:r>
    </w:p>
    <w:p>
      <w:pPr>
        <w:spacing w:after="120" w:before="0" w:line="276"/>
      </w:pPr>
      <w:r>
        <w:t xml:space="preserve">In der Praxis decken CMS häufig Korruption, Kartellrecht, Datenschutz, Geldwäsche, Exportkontrolle und Lieferkettenpflichten ab. Wettbewerbs- und Werberecht ist oft nur teilweise erfasst und wird von Legal oder Marketing fallweise bearbeitet. Das ist eine Einschätzung aus der Beratungspraxis, keine erhobene Zahl. Der DICO-Risikokatalog 2024 führt neben dem Lauterkeitsrecht ein Risikofeld „Sustainability Compliance“, dem Greenwashing zugeordnet ist </w:t>
      </w:r>
      <w:r>
        <w:rPr>
          <w:color w:val="5E6B78"/>
          <w:sz w:val="18"/>
          <w:szCs w:val="18"/>
        </w:rPr>
        <w:t xml:space="preserve">[S11]</w:t>
      </w:r>
      <w:r>
        <w:t xml:space="preserve">.</w:t>
      </w:r>
    </w:p>
    <w:p>
      <w:pPr>
        <w:pStyle w:val="Heading2"/>
        <w:keepNext/>
      </w:pPr>
      <w:r>
        <w:t xml:space="preserve">5.2 Neue Anforderungen durch EmpCo aus CMS-Sicht</w:t>
      </w:r>
    </w:p>
    <w:p>
      <w:pPr>
        <w:pStyle w:val="ListParagraph"/>
        <w:numPr>
          <w:ilvl w:val="0"/>
          <w:numId w:val="2"/>
        </w:numPr>
        <w:spacing w:after="60" w:before="0" w:line="276"/>
      </w:pPr>
      <w:r>
        <w:rPr>
          <w:b/>
          <w:bCs/>
        </w:rPr>
        <w:t xml:space="preserve">Neue Compliance-Pflichten</w:t>
      </w:r>
      <w:r>
        <w:t xml:space="preserve"> </w:t>
      </w:r>
      <w:r>
        <w:rPr>
          <w:b/>
          <w:bCs/>
          <w:color w:val="B04A16"/>
          <w:sz w:val="19"/>
          <w:szCs w:val="19"/>
        </w:rPr>
        <w:t xml:space="preserve">[Pflicht]</w:t>
      </w:r>
      <w:r>
        <w:t xml:space="preserve">: Die Anforderungen A1 bis A14 treten in das Pflichtenregister ein. Sie betreffen jede geschäftliche Handlung gegenüber Verbrauchern, auch Verpackung, Produkt-, Marken- und Firmennamen, Bilder, Social Media, Marktplatz-Listings, mündliche Aussagen im Vertrieb und Pressemitteilungen mit Absatzbezug </w:t>
      </w:r>
      <w:r>
        <w:rPr>
          <w:color w:val="5E6B78"/>
          <w:sz w:val="18"/>
          <w:szCs w:val="18"/>
        </w:rPr>
        <w:t xml:space="preserve">[B1]</w:t>
      </w:r>
      <w:r>
        <w:t xml:space="preserve"> (RB Kap. 2.3–2.4) </w:t>
      </w:r>
      <w:r>
        <w:rPr>
          <w:color w:val="5E6B78"/>
          <w:sz w:val="18"/>
          <w:szCs w:val="18"/>
        </w:rPr>
        <w:t xml:space="preserve">[I1]</w:t>
      </w:r>
      <w:r>
        <w:t xml:space="preserve">.</w:t>
      </w:r>
    </w:p>
    <w:p>
      <w:pPr>
        <w:pStyle w:val="ListParagraph"/>
        <w:numPr>
          <w:ilvl w:val="0"/>
          <w:numId w:val="2"/>
        </w:numPr>
        <w:spacing w:after="60" w:before="0" w:line="276"/>
      </w:pPr>
      <w:r>
        <w:rPr>
          <w:b/>
          <w:bCs/>
        </w:rPr>
        <w:t xml:space="preserve">Neues Compliance-Risikofeld</w:t>
      </w:r>
      <w:r>
        <w:t xml:space="preserve"> </w:t>
      </w:r>
      <w:r>
        <w:rPr>
          <w:b/>
          <w:bCs/>
          <w:color w:val="1F6F63"/>
          <w:sz w:val="19"/>
          <w:szCs w:val="19"/>
        </w:rPr>
        <w:t xml:space="preserve">[Organisation]</w:t>
      </w:r>
      <w:r>
        <w:t xml:space="preserve">: Das Risiko entsteht verteilt (Marketing, Produkt, Vertrieb, Agenturen, KI-Werkzeuge). Es lässt sich keiner Fachabteilung allein zuordnen und braucht deshalb eine eigene Verantwortung.</w:t>
      </w:r>
    </w:p>
    <w:p>
      <w:pPr>
        <w:pStyle w:val="ListParagraph"/>
        <w:numPr>
          <w:ilvl w:val="0"/>
          <w:numId w:val="2"/>
        </w:numPr>
        <w:spacing w:after="60" w:before="0" w:line="276"/>
      </w:pPr>
      <w:r>
        <w:rPr>
          <w:b/>
          <w:bCs/>
        </w:rPr>
        <w:t xml:space="preserve">Wirkung über die Unternehmensgrenze</w:t>
      </w:r>
      <w:r>
        <w:t xml:space="preserve"> </w:t>
      </w:r>
      <w:r>
        <w:rPr>
          <w:b/>
          <w:bCs/>
          <w:color w:val="B04A16"/>
          <w:sz w:val="19"/>
          <w:szCs w:val="19"/>
        </w:rPr>
        <w:t xml:space="preserve">[Pflicht]</w:t>
      </w:r>
      <w:r>
        <w:t xml:space="preserve">: Nach § 8 Abs. 2 UWG richten sich Unterlassungs- und Beseitigungsansprüche auch gegen das Unternehmen, wenn Mitarbeitende oder Beauftragte handeln </w:t>
      </w:r>
      <w:r>
        <w:rPr>
          <w:color w:val="5E6B78"/>
          <w:sz w:val="18"/>
          <w:szCs w:val="18"/>
        </w:rPr>
        <w:t xml:space="preserve">[R4]</w:t>
      </w:r>
      <w:r>
        <w:t xml:space="preserve">. Das CMS muss deshalb Agenturen, Influencer und Händler erreichen.</w:t>
      </w:r>
    </w:p>
    <w:p>
      <w:pPr>
        <w:pStyle w:val="ListParagraph"/>
        <w:numPr>
          <w:ilvl w:val="0"/>
          <w:numId w:val="2"/>
        </w:numPr>
        <w:spacing w:after="60" w:before="0" w:line="276"/>
      </w:pPr>
      <w:r>
        <w:rPr>
          <w:b/>
          <w:bCs/>
        </w:rPr>
        <w:t xml:space="preserve">Nachweislogik</w:t>
      </w:r>
      <w:r>
        <w:t xml:space="preserve"> </w:t>
      </w:r>
      <w:r>
        <w:rPr>
          <w:b/>
          <w:bCs/>
          <w:color w:val="B04A16"/>
          <w:sz w:val="19"/>
          <w:szCs w:val="19"/>
        </w:rPr>
        <w:t xml:space="preserve">[Pflicht]</w:t>
      </w:r>
      <w:r>
        <w:t xml:space="preserve"> Ergebnis, </w:t>
      </w:r>
      <w:r>
        <w:rPr>
          <w:b/>
          <w:bCs/>
          <w:color w:val="1F6F63"/>
          <w:sz w:val="19"/>
          <w:szCs w:val="19"/>
        </w:rPr>
        <w:t xml:space="preserve">[Organisation]</w:t>
      </w:r>
      <w:r>
        <w:t xml:space="preserve"> Mittel: Wegen Art. 12 UGP-RL und Nr. 4a („nachweisen kann“) muss die Evidenz bei Veröffentlichung vorliegen und schnell abrufbar sein </w:t>
      </w:r>
      <w:r>
        <w:rPr>
          <w:color w:val="5E6B78"/>
          <w:sz w:val="18"/>
          <w:szCs w:val="18"/>
        </w:rPr>
        <w:t xml:space="preserve">[R2]</w:t>
      </w:r>
      <w:r>
        <w:t xml:space="preserve">. Eine Dokumentationspflicht als solche besteht nicht. Ohne Dokumentation ist die Pflicht praktisch aber nicht erfüllbar.</w:t>
      </w:r>
    </w:p>
    <w:p>
      <w:pPr>
        <w:pStyle w:val="ListParagraph"/>
        <w:numPr>
          <w:ilvl w:val="0"/>
          <w:numId w:val="2"/>
        </w:numPr>
        <w:spacing w:after="60" w:before="0" w:line="276"/>
      </w:pPr>
      <w:r>
        <w:rPr>
          <w:b/>
          <w:bCs/>
        </w:rPr>
        <w:t xml:space="preserve">Sonderpflichten mit Prozesscharakter</w:t>
      </w:r>
      <w:r>
        <w:t xml:space="preserve"> </w:t>
      </w:r>
      <w:r>
        <w:rPr>
          <w:b/>
          <w:bCs/>
          <w:color w:val="B04A16"/>
          <w:sz w:val="19"/>
          <w:szCs w:val="19"/>
        </w:rPr>
        <w:t xml:space="preserve">[Pflicht]</w:t>
      </w:r>
      <w:r>
        <w:t xml:space="preserve"> (bedingt): Zukunftsaussagen (A6) und Siegel (A3), nur wenn das Unternehmen sie nutzt.</w:t>
      </w:r>
    </w:p>
    <w:p>
      <w:pPr>
        <w:pStyle w:val="ListParagraph"/>
        <w:numPr>
          <w:ilvl w:val="0"/>
          <w:numId w:val="2"/>
        </w:numPr>
        <w:spacing w:after="60" w:before="0" w:line="276"/>
      </w:pPr>
      <w:r>
        <w:rPr>
          <w:b/>
          <w:bCs/>
        </w:rPr>
        <w:t xml:space="preserve">Hinweisgeberschutz</w:t>
      </w:r>
      <w:r>
        <w:t xml:space="preserve"> </w:t>
      </w:r>
      <w:r>
        <w:rPr>
          <w:b/>
          <w:bCs/>
          <w:color w:val="B04A16"/>
          <w:sz w:val="19"/>
          <w:szCs w:val="19"/>
        </w:rPr>
        <w:t xml:space="preserve">[Pflicht]</w:t>
      </w:r>
      <w:r>
        <w:t xml:space="preserve">: Hinweise auf Greenwashing sind geschützte Meldungen nach dem HinSchG </w:t>
      </w:r>
      <w:r>
        <w:rPr>
          <w:color w:val="5E6B78"/>
          <w:sz w:val="18"/>
          <w:szCs w:val="18"/>
        </w:rPr>
        <w:t xml:space="preserve">[R12]</w:t>
      </w:r>
      <w:r>
        <w:t xml:space="preserve">.</w:t>
      </w:r>
    </w:p>
    <w:p>
      <w:pPr>
        <w:spacing w:after="40"/>
      </w:pPr>
    </w:p>
    <w:p>
      <w:pPr>
        <w:pStyle w:val="Heading2"/>
        <w:keepNext/>
      </w:pPr>
      <w:r>
        <w:t xml:space="preserve">5.3 Neu aufzunehmende Elemente</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023"/>
        <w:gridCol w:w="4722"/>
        <w:gridCol w:w="1252"/>
        <w:gridCol w:w="1641"/>
      </w:tblGrid>
      <w:tr>
        <w:trPr>
          <w:cantSplit/>
          <w:tblHeader/>
        </w:trPr>
        <w:tc>
          <w:tcPr>
            <w:tcW w:type="dxa" w:w="202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Element</w:t>
            </w:r>
          </w:p>
        </w:tc>
        <w:tc>
          <w:tcPr>
            <w:tcW w:type="dxa" w:w="472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Inhalt</w:t>
            </w:r>
          </w:p>
        </w:tc>
        <w:tc>
          <w:tcPr>
            <w:tcW w:type="dxa" w:w="125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Kennz.</w:t>
            </w:r>
          </w:p>
        </w:tc>
        <w:tc>
          <w:tcPr>
            <w:tcW w:type="dxa" w:w="1641"/>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IDW PS 980 / ISO 37301</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Risikofeld „Umwelt-, Sozial- und Produkt­aussagen (Claims)“</w:t>
            </w:r>
          </w:p>
        </w:tc>
        <w:tc>
          <w:tcPr>
            <w:tcW w:type="dxa" w:w="4722"/>
            <w:tcMar>
              <w:top w:type="dxa" w:w="50"/>
              <w:left w:type="dxa" w:w="90"/>
              <w:bottom w:type="dxa" w:w="50"/>
              <w:right w:type="dxa" w:w="90"/>
            </w:tcMar>
            <w:vAlign w:val="top"/>
          </w:tcPr>
          <w:p>
            <w:pPr>
              <w:spacing w:after="30" w:before="0" w:line="252"/>
            </w:pPr>
            <w:r>
              <w:rPr>
                <w:b w:val="false"/>
                <w:bCs w:val="false"/>
                <w:sz w:val="17"/>
                <w:szCs w:val="17"/>
              </w:rPr>
              <w:t xml:space="preserve">Eintrag in der Compliance-Risiko­analyse mit Unterrisiken je Anforderung A1–A14; Bewertung nach Exposition (Kapitel 8).</w:t>
            </w:r>
          </w:p>
        </w:tc>
        <w:tc>
          <w:tcPr>
            <w:tcW w:type="dxa" w:w="1252"/>
            <w:tcMar>
              <w:top w:type="dxa" w:w="50"/>
              <w:left w:type="dxa" w:w="90"/>
              <w:bottom w:type="dxa" w:w="50"/>
              <w:right w:type="dxa" w:w="90"/>
            </w:tcMar>
            <w:vAlign w:val="top"/>
          </w:tcPr>
          <w:p>
            <w:pPr>
              <w:spacing w:after="30" w:before="0" w:line="252"/>
            </w:pPr>
            <w:r>
              <w:rPr>
                <w:b/>
                <w:bCs/>
                <w:color w:val="1F6F63"/>
                <w:sz w:val="15"/>
                <w:szCs w:val="15"/>
              </w:rPr>
              <w:t xml:space="preserve">[Organisation]</w:t>
            </w:r>
          </w:p>
        </w:tc>
        <w:tc>
          <w:tcPr>
            <w:tcW w:type="dxa" w:w="1641"/>
            <w:tcMar>
              <w:top w:type="dxa" w:w="50"/>
              <w:left w:type="dxa" w:w="90"/>
              <w:bottom w:type="dxa" w:w="50"/>
              <w:right w:type="dxa" w:w="90"/>
            </w:tcMar>
            <w:vAlign w:val="top"/>
          </w:tcPr>
          <w:p>
            <w:pPr>
              <w:spacing w:after="30" w:before="0" w:line="252"/>
            </w:pPr>
            <w:r>
              <w:rPr>
                <w:b w:val="false"/>
                <w:bCs w:val="false"/>
                <w:sz w:val="17"/>
                <w:szCs w:val="17"/>
              </w:rPr>
              <w:t xml:space="preserve">Compliance-Risiken / 4.6</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Claims-Richtlinie (Policy-Modul)</w:t>
            </w:r>
          </w:p>
        </w:tc>
        <w:tc>
          <w:tcPr>
            <w:tcW w:type="dxa" w:w="472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Zwei bis vier Seiten: Geltungsbereich, Begriffe, Negativliste, Evidenzstandard je Claim-Typ, Freigabe­matrix, Dokumentation, Monitoring, Umgang mit Dritten. Beschluss der Geschäfts­leitung.</w:t>
            </w:r>
          </w:p>
        </w:tc>
        <w:tc>
          <w:tcPr>
            <w:tcW w:type="dxa" w:w="1252"/>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c>
          <w:tcPr>
            <w:tcW w:type="dxa" w:w="164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Compliance-Programm / 5.2, 8.2</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Negativliste und Claim-Bibliothek</w:t>
            </w:r>
          </w:p>
        </w:tc>
        <w:tc>
          <w:tcPr>
            <w:tcW w:type="dxa" w:w="4722"/>
            <w:tcMar>
              <w:top w:type="dxa" w:w="50"/>
              <w:left w:type="dxa" w:w="90"/>
              <w:bottom w:type="dxa" w:w="50"/>
              <w:right w:type="dxa" w:w="90"/>
            </w:tcMar>
            <w:vAlign w:val="top"/>
          </w:tcPr>
          <w:p>
            <w:pPr>
              <w:spacing w:after="30" w:before="0" w:line="252"/>
            </w:pPr>
            <w:r>
              <w:rPr>
                <w:b w:val="false"/>
                <w:bCs w:val="false"/>
                <w:sz w:val="17"/>
                <w:szCs w:val="17"/>
              </w:rPr>
              <w:t xml:space="preserve">Per se unzulässige Begriffe und Konstellationen (A2–A5, A8, A10); freigegebene Formulierungen zur Wieder­verwendung. Praxisquellen empfehlen Claim-Bibliothek und abgestufte Freigaben </w:t>
            </w:r>
            <w:r>
              <w:rPr>
                <w:b w:val="false"/>
                <w:bCs w:val="false"/>
                <w:color w:val="5E6B78"/>
                <w:sz w:val="14"/>
                <w:szCs w:val="14"/>
              </w:rPr>
              <w:t xml:space="preserve">[L7]</w:t>
            </w:r>
            <w:r>
              <w:rPr>
                <w:b w:val="false"/>
                <w:bCs w:val="false"/>
                <w:sz w:val="17"/>
                <w:szCs w:val="17"/>
              </w:rPr>
              <w:t xml:space="preserve">.</w:t>
            </w:r>
          </w:p>
        </w:tc>
        <w:tc>
          <w:tcPr>
            <w:tcW w:type="dxa" w:w="1252"/>
            <w:tcMar>
              <w:top w:type="dxa" w:w="50"/>
              <w:left w:type="dxa" w:w="90"/>
              <w:bottom w:type="dxa" w:w="50"/>
              <w:right w:type="dxa" w:w="90"/>
            </w:tcMar>
            <w:vAlign w:val="top"/>
          </w:tcPr>
          <w:p>
            <w:pPr>
              <w:spacing w:after="30" w:before="0" w:line="252"/>
            </w:pPr>
            <w:r>
              <w:rPr>
                <w:b/>
                <w:bCs/>
                <w:color w:val="1F6F63"/>
                <w:sz w:val="15"/>
                <w:szCs w:val="15"/>
              </w:rPr>
              <w:t xml:space="preserve">[Organisation]</w:t>
            </w:r>
          </w:p>
        </w:tc>
        <w:tc>
          <w:tcPr>
            <w:tcW w:type="dxa" w:w="1641"/>
            <w:tcMar>
              <w:top w:type="dxa" w:w="50"/>
              <w:left w:type="dxa" w:w="90"/>
              <w:bottom w:type="dxa" w:w="50"/>
              <w:right w:type="dxa" w:w="90"/>
            </w:tcMar>
            <w:vAlign w:val="top"/>
          </w:tcPr>
          <w:p>
            <w:pPr>
              <w:spacing w:after="30" w:before="0" w:line="252"/>
            </w:pPr>
            <w:r>
              <w:rPr>
                <w:b w:val="false"/>
                <w:bCs w:val="false"/>
                <w:sz w:val="17"/>
                <w:szCs w:val="17"/>
              </w:rPr>
              <w:t xml:space="preserve">Compliance-Programm / 8.2</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Claim-Governance-Verantwortung</w:t>
            </w:r>
          </w:p>
        </w:tc>
        <w:tc>
          <w:tcPr>
            <w:tcW w:type="dxa" w:w="472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Benannte Person, die das Modul verantwortet (im KMU z. B. Compliance-, QM- oder Rechts­verantwortliche); je Claim ein fachlicher Owner.</w:t>
            </w:r>
          </w:p>
        </w:tc>
        <w:tc>
          <w:tcPr>
            <w:tcW w:type="dxa" w:w="1252"/>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c>
          <w:tcPr>
            <w:tcW w:type="dxa" w:w="164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Compliance-Organisation / 5.3</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Claim-Register</w:t>
            </w:r>
          </w:p>
        </w:tc>
        <w:tc>
          <w:tcPr>
            <w:tcW w:type="dxa" w:w="4722"/>
            <w:tcMar>
              <w:top w:type="dxa" w:w="50"/>
              <w:left w:type="dxa" w:w="90"/>
              <w:bottom w:type="dxa" w:w="50"/>
              <w:right w:type="dxa" w:w="90"/>
            </w:tcMar>
            <w:vAlign w:val="top"/>
          </w:tcPr>
          <w:p>
            <w:pPr>
              <w:spacing w:after="30" w:before="0" w:line="252"/>
            </w:pPr>
            <w:r>
              <w:rPr>
                <w:b w:val="false"/>
                <w:bCs w:val="false"/>
                <w:sz w:val="17"/>
                <w:szCs w:val="17"/>
              </w:rPr>
              <w:t xml:space="preserve">Verzeichnis aller aktiven Claims mit ID, Risikoklasse, Kanälen, Evidenzverweis, Freigabe, Ablaufdatum.</w:t>
            </w:r>
          </w:p>
        </w:tc>
        <w:tc>
          <w:tcPr>
            <w:tcW w:type="dxa" w:w="1252"/>
            <w:tcMar>
              <w:top w:type="dxa" w:w="50"/>
              <w:left w:type="dxa" w:w="90"/>
              <w:bottom w:type="dxa" w:w="50"/>
              <w:right w:type="dxa" w:w="90"/>
            </w:tcMar>
            <w:vAlign w:val="top"/>
          </w:tcPr>
          <w:p>
            <w:pPr>
              <w:spacing w:after="30" w:before="0" w:line="252"/>
            </w:pPr>
            <w:r>
              <w:rPr>
                <w:b/>
                <w:bCs/>
                <w:color w:val="1F6F63"/>
                <w:sz w:val="15"/>
                <w:szCs w:val="15"/>
              </w:rPr>
              <w:t xml:space="preserve">[Organisation]</w:t>
            </w:r>
          </w:p>
        </w:tc>
        <w:tc>
          <w:tcPr>
            <w:tcW w:type="dxa" w:w="1641"/>
            <w:tcMar>
              <w:top w:type="dxa" w:w="50"/>
              <w:left w:type="dxa" w:w="90"/>
              <w:bottom w:type="dxa" w:w="50"/>
              <w:right w:type="dxa" w:w="90"/>
            </w:tcMar>
            <w:vAlign w:val="top"/>
          </w:tcPr>
          <w:p>
            <w:pPr>
              <w:spacing w:after="30" w:before="0" w:line="252"/>
            </w:pPr>
            <w:r>
              <w:rPr>
                <w:b w:val="false"/>
                <w:bCs w:val="false"/>
                <w:sz w:val="17"/>
                <w:szCs w:val="17"/>
              </w:rPr>
              <w:t xml:space="preserve">Compliance-Programm / 7.5</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Label-Register</w:t>
            </w:r>
          </w:p>
        </w:tc>
        <w:tc>
          <w:tcPr>
            <w:tcW w:type="dxa" w:w="472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Alle genutzten Siegel mit Nachweis des Zertifizierungs­systems (vier Kriterien) oder der staatlichen Festsetzung, Lizenzumfang und Laufzeit.</w:t>
            </w:r>
          </w:p>
        </w:tc>
        <w:tc>
          <w:tcPr>
            <w:tcW w:type="dxa" w:w="1252"/>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dient </w:t>
            </w:r>
            <w:r>
              <w:rPr>
                <w:b/>
                <w:bCs/>
                <w:color w:val="B04A16"/>
                <w:sz w:val="15"/>
                <w:szCs w:val="15"/>
              </w:rPr>
              <w:t xml:space="preserve">[Pflicht]</w:t>
            </w:r>
            <w:r>
              <w:rPr>
                <w:b w:val="false"/>
                <w:bCs w:val="false"/>
                <w:sz w:val="17"/>
                <w:szCs w:val="17"/>
              </w:rPr>
              <w:t xml:space="preserve"> (A3)</w:t>
            </w:r>
          </w:p>
        </w:tc>
        <w:tc>
          <w:tcPr>
            <w:tcW w:type="dxa" w:w="164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Compliance-Programm / 8.2</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Sonder­prozess Zukunfts­aussagen</w:t>
            </w:r>
          </w:p>
        </w:tc>
        <w:tc>
          <w:tcPr>
            <w:tcW w:type="dxa" w:w="4722"/>
            <w:tcMar>
              <w:top w:type="dxa" w:w="50"/>
              <w:left w:type="dxa" w:w="90"/>
              <w:bottom w:type="dxa" w:w="50"/>
              <w:right w:type="dxa" w:w="90"/>
            </w:tcMar>
            <w:vAlign w:val="top"/>
          </w:tcPr>
          <w:p>
            <w:pPr>
              <w:spacing w:after="30" w:before="0" w:line="252"/>
            </w:pPr>
            <w:r>
              <w:rPr>
                <w:b w:val="false"/>
                <w:bCs w:val="false"/>
                <w:sz w:val="17"/>
                <w:szCs w:val="17"/>
              </w:rPr>
              <w:t xml:space="preserve">Beschluss der Geschäfts­leitung, Umsetzungs­plan, Beauftragung eines unabhängigen Sachverständigen, Veröffentlichung der Ergebnisse vor Nutzung der Aussage.</w:t>
            </w:r>
          </w:p>
        </w:tc>
        <w:tc>
          <w:tcPr>
            <w:tcW w:type="dxa" w:w="1252"/>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 (bedingt)</w:t>
            </w:r>
          </w:p>
        </w:tc>
        <w:tc>
          <w:tcPr>
            <w:tcW w:type="dxa" w:w="1641"/>
            <w:tcMar>
              <w:top w:type="dxa" w:w="50"/>
              <w:left w:type="dxa" w:w="90"/>
              <w:bottom w:type="dxa" w:w="50"/>
              <w:right w:type="dxa" w:w="90"/>
            </w:tcMar>
            <w:vAlign w:val="top"/>
          </w:tcPr>
          <w:p>
            <w:pPr>
              <w:spacing w:after="30" w:before="0" w:line="252"/>
            </w:pPr>
            <w:r>
              <w:rPr>
                <w:b w:val="false"/>
                <w:bCs w:val="false"/>
                <w:sz w:val="17"/>
                <w:szCs w:val="17"/>
              </w:rPr>
              <w:t xml:space="preserve">Compliance-Programm / 8.1</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Schulungs­modul Claims</w:t>
            </w:r>
          </w:p>
        </w:tc>
        <w:tc>
          <w:tcPr>
            <w:tcW w:type="dxa" w:w="472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Zielgruppenspezifisch: Marketing (vertieft), Vertrieb und Service (mündliche Aussagen), Produktentwicklung (A10), Geschäfts­leitung (Haftung, Zukunfts­aussagen).</w:t>
            </w:r>
          </w:p>
        </w:tc>
        <w:tc>
          <w:tcPr>
            <w:tcW w:type="dxa" w:w="1252"/>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c>
          <w:tcPr>
            <w:tcW w:type="dxa" w:w="164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Compliance-Kommunikation / 7.2, 7.3</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Hinweis­geber­kategorie</w:t>
            </w:r>
          </w:p>
        </w:tc>
        <w:tc>
          <w:tcPr>
            <w:tcW w:type="dxa" w:w="4722"/>
            <w:tcMar>
              <w:top w:type="dxa" w:w="50"/>
              <w:left w:type="dxa" w:w="90"/>
              <w:bottom w:type="dxa" w:w="50"/>
              <w:right w:type="dxa" w:w="90"/>
            </w:tcMar>
            <w:vAlign w:val="top"/>
          </w:tcPr>
          <w:p>
            <w:pPr>
              <w:spacing w:after="30" w:before="0" w:line="252"/>
            </w:pPr>
            <w:r>
              <w:rPr>
                <w:b w:val="false"/>
                <w:bCs w:val="false"/>
                <w:sz w:val="17"/>
                <w:szCs w:val="17"/>
              </w:rPr>
              <w:t xml:space="preserve">Kategorie „Umwelt-, Sozial- und Produkt­aussagen“ mit Weiter­leitung an den Claim-Governance-Owner.</w:t>
            </w:r>
          </w:p>
        </w:tc>
        <w:tc>
          <w:tcPr>
            <w:tcW w:type="dxa" w:w="1252"/>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Meldestelle </w:t>
            </w:r>
            <w:r>
              <w:rPr>
                <w:b/>
                <w:bCs/>
                <w:color w:val="B04A16"/>
                <w:sz w:val="15"/>
                <w:szCs w:val="15"/>
              </w:rPr>
              <w:t xml:space="preserve">[Pflicht]</w:t>
            </w:r>
            <w:r>
              <w:rPr>
                <w:b w:val="false"/>
                <w:bCs w:val="false"/>
                <w:sz w:val="17"/>
                <w:szCs w:val="17"/>
              </w:rPr>
              <w:t xml:space="preserve"> ab 50 Beschäftigten</w:t>
            </w:r>
          </w:p>
        </w:tc>
        <w:tc>
          <w:tcPr>
            <w:tcW w:type="dxa" w:w="1641"/>
            <w:tcMar>
              <w:top w:type="dxa" w:w="50"/>
              <w:left w:type="dxa" w:w="90"/>
              <w:bottom w:type="dxa" w:w="50"/>
              <w:right w:type="dxa" w:w="90"/>
            </w:tcMar>
            <w:vAlign w:val="top"/>
          </w:tcPr>
          <w:p>
            <w:pPr>
              <w:spacing w:after="30" w:before="0" w:line="252"/>
            </w:pPr>
            <w:r>
              <w:rPr>
                <w:b w:val="false"/>
                <w:bCs w:val="false"/>
                <w:sz w:val="17"/>
                <w:szCs w:val="17"/>
              </w:rPr>
              <w:t xml:space="preserve">Compliance-Kommunikation / 8.3</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Abmahn- und Incident-Playbook</w:t>
            </w:r>
          </w:p>
        </w:tc>
        <w:tc>
          <w:tcPr>
            <w:tcW w:type="dxa" w:w="472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Zuständigkeiten, Kanzleikontakt, Fristen­management, Evidenzzugriff, Bereinigung aller Kanäle, Lessons Learned.</w:t>
            </w:r>
          </w:p>
        </w:tc>
        <w:tc>
          <w:tcPr>
            <w:tcW w:type="dxa" w:w="1252"/>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Zielwert ≤ 48 h </w:t>
            </w:r>
            <w:r>
              <w:rPr>
                <w:b/>
                <w:bCs/>
                <w:color w:val="5B4B8A"/>
                <w:sz w:val="15"/>
                <w:szCs w:val="15"/>
              </w:rPr>
              <w:t xml:space="preserve">[Best Practice]</w:t>
            </w:r>
          </w:p>
        </w:tc>
        <w:tc>
          <w:tcPr>
            <w:tcW w:type="dxa" w:w="164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Überwachung und Verbesserung / 8.4, 10.2</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Kennzahlen im Compliance-Bericht</w:t>
            </w:r>
          </w:p>
        </w:tc>
        <w:tc>
          <w:tcPr>
            <w:tcW w:type="dxa" w:w="4722"/>
            <w:tcMar>
              <w:top w:type="dxa" w:w="50"/>
              <w:left w:type="dxa" w:w="90"/>
              <w:bottom w:type="dxa" w:w="50"/>
              <w:right w:type="dxa" w:w="90"/>
            </w:tcMar>
            <w:vAlign w:val="top"/>
          </w:tcPr>
          <w:p>
            <w:pPr>
              <w:spacing w:after="30" w:before="0" w:line="252"/>
            </w:pPr>
            <w:r>
              <w:rPr>
                <w:b w:val="false"/>
                <w:bCs w:val="false"/>
                <w:sz w:val="17"/>
                <w:szCs w:val="17"/>
              </w:rPr>
              <w:t xml:space="preserve">Dossier-Vollständigkeit, abgelaufene Evidenz, ungeplante Funde im Markt, Beanstandungen und Abmahnungen, Schulungsquote (RB Kap. 8.6) </w:t>
            </w:r>
            <w:r>
              <w:rPr>
                <w:b w:val="false"/>
                <w:bCs w:val="false"/>
                <w:color w:val="5E6B78"/>
                <w:sz w:val="14"/>
                <w:szCs w:val="14"/>
              </w:rPr>
              <w:t xml:space="preserve">[I1]</w:t>
            </w:r>
            <w:r>
              <w:rPr>
                <w:b w:val="false"/>
                <w:bCs w:val="false"/>
                <w:sz w:val="17"/>
                <w:szCs w:val="17"/>
              </w:rPr>
              <w:t xml:space="preserve">.</w:t>
            </w:r>
          </w:p>
        </w:tc>
        <w:tc>
          <w:tcPr>
            <w:tcW w:type="dxa" w:w="1252"/>
            <w:tcMar>
              <w:top w:type="dxa" w:w="50"/>
              <w:left w:type="dxa" w:w="90"/>
              <w:bottom w:type="dxa" w:w="50"/>
              <w:right w:type="dxa" w:w="90"/>
            </w:tcMar>
            <w:vAlign w:val="top"/>
          </w:tcPr>
          <w:p>
            <w:pPr>
              <w:spacing w:after="30" w:before="0" w:line="252"/>
            </w:pPr>
            <w:r>
              <w:rPr>
                <w:b/>
                <w:bCs/>
                <w:color w:val="5B4B8A"/>
                <w:sz w:val="15"/>
                <w:szCs w:val="15"/>
              </w:rPr>
              <w:t xml:space="preserve">[Best Practice]</w:t>
            </w:r>
          </w:p>
        </w:tc>
        <w:tc>
          <w:tcPr>
            <w:tcW w:type="dxa" w:w="1641"/>
            <w:tcMar>
              <w:top w:type="dxa" w:w="50"/>
              <w:left w:type="dxa" w:w="90"/>
              <w:bottom w:type="dxa" w:w="50"/>
              <w:right w:type="dxa" w:w="90"/>
            </w:tcMar>
            <w:vAlign w:val="top"/>
          </w:tcPr>
          <w:p>
            <w:pPr>
              <w:spacing w:after="30" w:before="0" w:line="252"/>
            </w:pPr>
            <w:r>
              <w:rPr>
                <w:b w:val="false"/>
                <w:bCs w:val="false"/>
                <w:sz w:val="17"/>
                <w:szCs w:val="17"/>
              </w:rPr>
              <w:t xml:space="preserve">Überwachung / 9.1</w:t>
            </w:r>
          </w:p>
        </w:tc>
      </w:tr>
    </w:tbl>
    <w:p>
      <w:pPr>
        <w:spacing w:after="120"/>
      </w:pPr>
    </w:p>
    <w:p>
      <w:pPr>
        <w:pStyle w:val="Heading2"/>
        <w:keepNext/>
      </w:pPr>
      <w:r>
        <w:t xml:space="preserve">5.4 Anzupassende Elemente und Wiederverwendung</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602"/>
        <w:gridCol w:w="5782"/>
        <w:gridCol w:w="1254"/>
      </w:tblGrid>
      <w:tr>
        <w:trPr>
          <w:cantSplit/>
          <w:tblHeader/>
        </w:trPr>
        <w:tc>
          <w:tcPr>
            <w:tcW w:type="dxa" w:w="260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Bestehendes Element</w:t>
            </w:r>
          </w:p>
        </w:tc>
        <w:tc>
          <w:tcPr>
            <w:tcW w:type="dxa" w:w="578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Anpassung</w:t>
            </w:r>
          </w:p>
        </w:tc>
        <w:tc>
          <w:tcPr>
            <w:tcW w:type="dxa" w:w="1254"/>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Kennz.</w:t>
            </w:r>
          </w:p>
        </w:tc>
      </w:tr>
      <w:tr>
        <w:trPr>
          <w:cantSplit/>
        </w:trPr>
        <w:tc>
          <w:tcPr>
            <w:tcW w:type="dxa" w:w="2602"/>
            <w:tcMar>
              <w:top w:type="dxa" w:w="50"/>
              <w:left w:type="dxa" w:w="90"/>
              <w:bottom w:type="dxa" w:w="50"/>
              <w:right w:type="dxa" w:w="90"/>
            </w:tcMar>
            <w:vAlign w:val="top"/>
          </w:tcPr>
          <w:p>
            <w:pPr>
              <w:spacing w:after="30" w:before="0" w:line="252"/>
            </w:pPr>
            <w:r>
              <w:rPr>
                <w:b/>
                <w:bCs/>
                <w:sz w:val="17"/>
                <w:szCs w:val="17"/>
              </w:rPr>
              <w:t xml:space="preserve">Pflichten­register (ISO 37301 Abschnitt 4.5)</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EmpCo-Pflichten A1–A14 mit Fundstellen und Zuständigkeit aufnehmen; Rechtsentwicklung verfolgen (z. B. § 15b UWG, Rechtsprechung zu den neuen Tatbeständen).</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shd w:fill="F3F5F7" w:color="auto" w:val="clear"/>
            <w:tcMar>
              <w:top w:type="dxa" w:w="50"/>
              <w:left w:type="dxa" w:w="90"/>
              <w:bottom w:type="dxa" w:w="50"/>
              <w:right w:type="dxa" w:w="90"/>
            </w:tcMar>
            <w:vAlign w:val="top"/>
          </w:tcPr>
          <w:p>
            <w:pPr>
              <w:spacing w:after="30" w:before="0" w:line="252"/>
            </w:pPr>
            <w:r>
              <w:rPr>
                <w:b/>
                <w:bCs/>
                <w:sz w:val="17"/>
                <w:szCs w:val="17"/>
              </w:rPr>
              <w:t xml:space="preserve">Compliance-Risiko­analyse</w:t>
            </w:r>
          </w:p>
        </w:tc>
        <w:tc>
          <w:tcPr>
            <w:tcW w:type="dxa" w:w="578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Risikofeld ergänzen; Bewertung nach Exposition: Zahl der Claims, B2C-Anteil, Kanäle, Siegel, Zukunfts­aussagen, Klimapositionierung.</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tcMar>
              <w:top w:type="dxa" w:w="50"/>
              <w:left w:type="dxa" w:w="90"/>
              <w:bottom w:type="dxa" w:w="50"/>
              <w:right w:type="dxa" w:w="90"/>
            </w:tcMar>
            <w:vAlign w:val="top"/>
          </w:tcPr>
          <w:p>
            <w:pPr>
              <w:spacing w:after="30" w:before="0" w:line="252"/>
            </w:pPr>
            <w:r>
              <w:rPr>
                <w:b/>
                <w:bCs/>
                <w:sz w:val="17"/>
                <w:szCs w:val="17"/>
              </w:rPr>
              <w:t xml:space="preserve">Verhaltens­kodex</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Grundsatz „Wir treffen nur belegbare Aussagen über Umwelt-, Sozial- und Produkteigenschaften“.</w:t>
            </w:r>
          </w:p>
        </w:tc>
        <w:tc>
          <w:tcPr>
            <w:tcW w:type="dxa" w:w="1254"/>
            <w:tcMar>
              <w:top w:type="dxa" w:w="50"/>
              <w:left w:type="dxa" w:w="90"/>
              <w:bottom w:type="dxa" w:w="50"/>
              <w:right w:type="dxa" w:w="90"/>
            </w:tcMar>
            <w:vAlign w:val="top"/>
          </w:tcPr>
          <w:p>
            <w:pPr>
              <w:spacing w:after="30" w:before="0" w:line="252"/>
            </w:pPr>
            <w:r>
              <w:rPr>
                <w:b/>
                <w:bCs/>
                <w:color w:val="5B4B8A"/>
                <w:sz w:val="15"/>
                <w:szCs w:val="15"/>
              </w:rPr>
              <w:t xml:space="preserve">[Best Practice]</w:t>
            </w:r>
          </w:p>
        </w:tc>
      </w:tr>
      <w:tr>
        <w:trPr>
          <w:cantSplit/>
        </w:trPr>
        <w:tc>
          <w:tcPr>
            <w:tcW w:type="dxa" w:w="2602"/>
            <w:shd w:fill="F3F5F7" w:color="auto" w:val="clear"/>
            <w:tcMar>
              <w:top w:type="dxa" w:w="50"/>
              <w:left w:type="dxa" w:w="90"/>
              <w:bottom w:type="dxa" w:w="50"/>
              <w:right w:type="dxa" w:w="90"/>
            </w:tcMar>
            <w:vAlign w:val="top"/>
          </w:tcPr>
          <w:p>
            <w:pPr>
              <w:spacing w:after="30" w:before="0" w:line="252"/>
            </w:pPr>
            <w:r>
              <w:rPr>
                <w:b/>
                <w:bCs/>
                <w:sz w:val="17"/>
                <w:szCs w:val="17"/>
              </w:rPr>
              <w:t xml:space="preserve">Marketing-, Kommunikations-, Social-Media- und Marken­richtlinien</w:t>
            </w:r>
          </w:p>
        </w:tc>
        <w:tc>
          <w:tcPr>
            <w:tcW w:type="dxa" w:w="578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Verweis auf die Claims-Richtlinie; Freigabe­pflicht; Negativliste.</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tcMar>
              <w:top w:type="dxa" w:w="50"/>
              <w:left w:type="dxa" w:w="90"/>
              <w:bottom w:type="dxa" w:w="50"/>
              <w:right w:type="dxa" w:w="90"/>
            </w:tcMar>
            <w:vAlign w:val="top"/>
          </w:tcPr>
          <w:p>
            <w:pPr>
              <w:spacing w:after="30" w:before="0" w:line="252"/>
            </w:pPr>
            <w:r>
              <w:rPr>
                <w:b/>
                <w:bCs/>
                <w:sz w:val="17"/>
                <w:szCs w:val="17"/>
              </w:rPr>
              <w:t xml:space="preserve">Verträge mit Agenturen, Influencern und Händlern</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Nur freigegebene Claims verwenden; Freigabe­vorbehalt; Mitwirkung bei Beseitigung; Haftungs- und Freistellungs­regeln (§ 8 Abs. 2 UWG).</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shd w:fill="F3F5F7" w:color="auto" w:val="clear"/>
            <w:tcMar>
              <w:top w:type="dxa" w:w="50"/>
              <w:left w:type="dxa" w:w="90"/>
              <w:bottom w:type="dxa" w:w="50"/>
              <w:right w:type="dxa" w:w="90"/>
            </w:tcMar>
            <w:vAlign w:val="top"/>
          </w:tcPr>
          <w:p>
            <w:pPr>
              <w:spacing w:after="30" w:before="0" w:line="252"/>
            </w:pPr>
            <w:r>
              <w:rPr>
                <w:b/>
                <w:bCs/>
                <w:sz w:val="17"/>
                <w:szCs w:val="17"/>
              </w:rPr>
              <w:t xml:space="preserve">Lieferanten­kodex und Einkaufsbedingungen</w:t>
            </w:r>
          </w:p>
        </w:tc>
        <w:tc>
          <w:tcPr>
            <w:tcW w:type="dxa" w:w="578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Nachweis- und Änderungsmelde­pflichten für claimrelevante Angaben (Rezyklatanteil, Herkunft, Zertifikate); Auditrechte. Praxisquellen empfehlen, Screening mit Lieferantenverträgen zu verbinden </w:t>
            </w:r>
            <w:r>
              <w:rPr>
                <w:b w:val="false"/>
                <w:bCs w:val="false"/>
                <w:color w:val="5E6B78"/>
                <w:sz w:val="14"/>
                <w:szCs w:val="14"/>
              </w:rPr>
              <w:t xml:space="preserve">[L6]</w:t>
            </w:r>
            <w:r>
              <w:rPr>
                <w:b w:val="false"/>
                <w:bCs w:val="false"/>
                <w:sz w:val="17"/>
                <w:szCs w:val="17"/>
              </w:rPr>
              <w:t xml:space="preserve">.</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tcMar>
              <w:top w:type="dxa" w:w="50"/>
              <w:left w:type="dxa" w:w="90"/>
              <w:bottom w:type="dxa" w:w="50"/>
              <w:right w:type="dxa" w:w="90"/>
            </w:tcMar>
            <w:vAlign w:val="top"/>
          </w:tcPr>
          <w:p>
            <w:pPr>
              <w:spacing w:after="30" w:before="0" w:line="252"/>
            </w:pPr>
            <w:r>
              <w:rPr>
                <w:b/>
                <w:bCs/>
                <w:sz w:val="17"/>
                <w:szCs w:val="17"/>
              </w:rPr>
              <w:t xml:space="preserve">Schulungs­plan</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Modul Claims für die Zielgruppen; Aufnahme ins Onboarding.</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shd w:fill="F3F5F7" w:color="auto" w:val="clear"/>
            <w:tcMar>
              <w:top w:type="dxa" w:w="50"/>
              <w:left w:type="dxa" w:w="90"/>
              <w:bottom w:type="dxa" w:w="50"/>
              <w:right w:type="dxa" w:w="90"/>
            </w:tcMar>
            <w:vAlign w:val="top"/>
          </w:tcPr>
          <w:p>
            <w:pPr>
              <w:spacing w:after="30" w:before="0" w:line="252"/>
            </w:pPr>
            <w:r>
              <w:rPr>
                <w:b/>
                <w:bCs/>
                <w:sz w:val="17"/>
                <w:szCs w:val="17"/>
              </w:rPr>
              <w:t xml:space="preserve">Hinweis­geber­system</w:t>
            </w:r>
          </w:p>
        </w:tc>
        <w:tc>
          <w:tcPr>
            <w:tcW w:type="dxa" w:w="578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Kategorie und Fallbearbeitung ergänzen.</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tcMar>
              <w:top w:type="dxa" w:w="50"/>
              <w:left w:type="dxa" w:w="90"/>
              <w:bottom w:type="dxa" w:w="50"/>
              <w:right w:type="dxa" w:w="90"/>
            </w:tcMar>
            <w:vAlign w:val="top"/>
          </w:tcPr>
          <w:p>
            <w:pPr>
              <w:spacing w:after="30" w:before="0" w:line="252"/>
            </w:pPr>
            <w:r>
              <w:rPr>
                <w:b/>
                <w:bCs/>
                <w:sz w:val="17"/>
                <w:szCs w:val="17"/>
              </w:rPr>
              <w:t xml:space="preserve">Compliance-Bericht an Geschäfts­leitung und Aufsichtsgremium</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Abschnitt Claims mit Kennzahlen und Vorfällen.</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shd w:fill="F3F5F7" w:color="auto" w:val="clear"/>
            <w:tcMar>
              <w:top w:type="dxa" w:w="50"/>
              <w:left w:type="dxa" w:w="90"/>
              <w:bottom w:type="dxa" w:w="50"/>
              <w:right w:type="dxa" w:w="90"/>
            </w:tcMar>
            <w:vAlign w:val="top"/>
          </w:tcPr>
          <w:p>
            <w:pPr>
              <w:spacing w:after="30" w:before="0" w:line="252"/>
            </w:pPr>
            <w:r>
              <w:rPr>
                <w:b/>
                <w:bCs/>
                <w:sz w:val="17"/>
                <w:szCs w:val="17"/>
              </w:rPr>
              <w:t xml:space="preserve">Monitoring- und Prüfungsplan</w:t>
            </w:r>
          </w:p>
        </w:tc>
        <w:tc>
          <w:tcPr>
            <w:tcW w:type="dxa" w:w="578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Claims ins Prüfungsuniversum; Stichproben im Markt (Regal, Website, Marktplatz, Social Media).</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602"/>
            <w:tcMar>
              <w:top w:type="dxa" w:w="50"/>
              <w:left w:type="dxa" w:w="90"/>
              <w:bottom w:type="dxa" w:w="50"/>
              <w:right w:type="dxa" w:w="90"/>
            </w:tcMar>
            <w:vAlign w:val="top"/>
          </w:tcPr>
          <w:p>
            <w:pPr>
              <w:spacing w:after="30" w:before="0" w:line="252"/>
            </w:pPr>
            <w:r>
              <w:rPr>
                <w:b/>
                <w:bCs/>
                <w:sz w:val="17"/>
                <w:szCs w:val="17"/>
              </w:rPr>
              <w:t xml:space="preserve">Third-Party-Due-Diligence</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Agenturen und Influencer als claimrelevante Dritte einstufen.</w:t>
            </w:r>
          </w:p>
        </w:tc>
        <w:tc>
          <w:tcPr>
            <w:tcW w:type="dxa" w:w="1254"/>
            <w:tcMar>
              <w:top w:type="dxa" w:w="50"/>
              <w:left w:type="dxa" w:w="90"/>
              <w:bottom w:type="dxa" w:w="50"/>
              <w:right w:type="dxa" w:w="90"/>
            </w:tcMar>
            <w:vAlign w:val="top"/>
          </w:tcPr>
          <w:p>
            <w:pPr>
              <w:spacing w:after="30" w:before="0" w:line="252"/>
            </w:pPr>
            <w:r>
              <w:rPr>
                <w:b/>
                <w:bCs/>
                <w:color w:val="5B4B8A"/>
                <w:sz w:val="15"/>
                <w:szCs w:val="15"/>
              </w:rPr>
              <w:t xml:space="preserve">[Best Practice]</w:t>
            </w:r>
          </w:p>
        </w:tc>
      </w:tr>
    </w:tbl>
    <w:p>
      <w:pPr>
        <w:spacing w:after="120"/>
      </w:pPr>
    </w:p>
    <w:p>
      <w:pPr>
        <w:spacing w:after="120" w:before="0" w:line="276"/>
      </w:pPr>
      <w:r>
        <w:rPr>
          <w:b/>
          <w:bCs/>
        </w:rPr>
        <w:t xml:space="preserve">Wiederverwendung:</w:t>
      </w:r>
      <w:r>
        <w:t xml:space="preserve"> Ein bestehendes CMS liefert bereits die tragenden Strukturen: Richtlinienwesen, Schulungssystem, Hinweisgeberkanal, Vertragsmuster, Berichtslinien und Monitoring. EmpCo benötigt darin ein zusätzliches Risikofeld mit eigenem Policy-Modul, keine neue Organisation.</w:t>
      </w:r>
    </w:p>
    <w:p>
      <w:pPr>
        <w:pStyle w:val="Heading2"/>
        <w:keepNext/>
      </w:pPr>
      <w:r>
        <w:t xml:space="preserve">5.5 Beispiel: Umweltclaim auf der Website (CMS-Sicht)</w:t>
      </w:r>
    </w:p>
    <w:p>
      <w:pPr>
        <w:spacing w:after="120" w:before="0" w:line="276"/>
      </w:pPr>
      <w:r>
        <w:t xml:space="preserve">Ausgangsfall: Auf der Produktseite steht „Umweltfreundlich verpackt – unsere Verpackung besteht zu 80 % aus recyceltem Kunststoff“. Den vollständigen Fall über alle drei Systeme zeigt Kapitel 10.1.</w:t>
      </w:r>
    </w:p>
    <w:p>
      <w:pPr>
        <w:pStyle w:val="ListParagraph"/>
        <w:numPr>
          <w:ilvl w:val="0"/>
          <w:numId w:val="2"/>
        </w:numPr>
        <w:spacing w:after="60" w:before="0" w:line="276"/>
      </w:pPr>
      <w:r>
        <w:rPr>
          <w:b/>
          <w:bCs/>
        </w:rPr>
        <w:t xml:space="preserve">Pflichtenbezug:</w:t>
      </w:r>
      <w:r>
        <w:t xml:space="preserve"> A2 („umweltfreundlich“ ist ein allgemeiner Begriff), A4 (die Aussage betrifft nur die Verpackung), A1 und A12 (Richtigkeit und Nachweis der 80 %).</w:t>
      </w:r>
    </w:p>
    <w:p>
      <w:pPr>
        <w:pStyle w:val="ListParagraph"/>
        <w:numPr>
          <w:ilvl w:val="0"/>
          <w:numId w:val="2"/>
        </w:numPr>
        <w:spacing w:after="60" w:before="0" w:line="276"/>
      </w:pPr>
      <w:r>
        <w:rPr>
          <w:b/>
          <w:bCs/>
        </w:rPr>
        <w:t xml:space="preserve">Regel:</w:t>
      </w:r>
      <w:r>
        <w:t xml:space="preserve"> Die Negativliste der Claims-Richtlinie führt „umweltfreundlich“ als unzulässig, sofern weder eine anerkannte Spitzenleistung noch eine klare Spezifizierung im selben Medium vorliegt. Freigegeben wird nur die spezifische Aussage mit klarer Bezugsgröße.</w:t>
      </w:r>
    </w:p>
    <w:p>
      <w:pPr>
        <w:pStyle w:val="ListParagraph"/>
        <w:numPr>
          <w:ilvl w:val="0"/>
          <w:numId w:val="2"/>
        </w:numPr>
        <w:spacing w:after="60" w:before="0" w:line="276"/>
      </w:pPr>
      <w:r>
        <w:rPr>
          <w:b/>
          <w:bCs/>
        </w:rPr>
        <w:t xml:space="preserve">Rollen:</w:t>
      </w:r>
      <w:r>
        <w:t xml:space="preserve"> Das Produktmanagement als Claim-Owner verantwortet Inhalt und Evidenz; Compliance gibt nach Freigabematrix frei.</w:t>
      </w:r>
    </w:p>
    <w:p>
      <w:pPr>
        <w:pStyle w:val="ListParagraph"/>
        <w:numPr>
          <w:ilvl w:val="0"/>
          <w:numId w:val="2"/>
        </w:numPr>
        <w:spacing w:after="60" w:before="0" w:line="276"/>
      </w:pPr>
      <w:r>
        <w:rPr>
          <w:b/>
          <w:bCs/>
        </w:rPr>
        <w:t xml:space="preserve">Dokumentation:</w:t>
      </w:r>
      <w:r>
        <w:t xml:space="preserve"> Registereintrag mit Claim-ID, Kanal „Website“, Evidenzverweis und Ablaufdatum des Lieferantenzertifikats.</w:t>
      </w:r>
    </w:p>
    <w:p>
      <w:pPr>
        <w:pStyle w:val="ListParagraph"/>
        <w:numPr>
          <w:ilvl w:val="0"/>
          <w:numId w:val="2"/>
        </w:numPr>
        <w:spacing w:after="60" w:before="0" w:line="276"/>
      </w:pPr>
      <w:r>
        <w:rPr>
          <w:b/>
          <w:bCs/>
        </w:rPr>
        <w:t xml:space="preserve">Kommunikation:</w:t>
      </w:r>
      <w:r>
        <w:t xml:space="preserve"> Web-Redaktion und Agentur sind geschult; der Agenturvertrag enthält den Freigabevorbehalt.</w:t>
      </w:r>
    </w:p>
    <w:p>
      <w:pPr>
        <w:spacing w:after="40"/>
      </w:pPr>
    </w:p>
    <w:p>
      <w:pPr>
        <w:pStyle w:val="Heading2"/>
        <w:keepNext/>
      </w:pPr>
      <w:r>
        <w:t xml:space="preserve">5.6 Abgrenzung</w:t>
      </w:r>
    </w:p>
    <w:p>
      <w:pPr>
        <w:spacing w:after="120" w:before="0" w:line="276"/>
      </w:pPr>
      <w:r>
        <w:t xml:space="preserve">Das CMS legt fest, </w:t>
      </w:r>
      <w:r>
        <w:rPr>
          <w:b/>
          <w:bCs/>
        </w:rPr>
        <w:t xml:space="preserve">was gilt</w:t>
      </w:r>
      <w:r>
        <w:t xml:space="preserve"> und </w:t>
      </w:r>
      <w:r>
        <w:rPr>
          <w:b/>
          <w:bCs/>
        </w:rPr>
        <w:t xml:space="preserve">welche Maßnahmen</w:t>
      </w:r>
      <w:r>
        <w:t xml:space="preserve"> die Einhaltung sichern. Es bewertet nicht das Gesamtrisiko für die Unternehmensziele (Aufgabe des RMS) und führt die Einzelkontrolle nicht selbst durch (Aufgabe der ersten Linie, dokumentiert im IKS). Die Grenze zum IKS ist fließend, weil das Compliance-Programm nach IDW PS 980 auch Kontrollen umfasst. Zweckmäßig ist deshalb: Das CMS definiert Kontrollziele und Mindestkontrollen; das IKS dokumentiert und testet sie in der Risiko-Kontroll-Matrix </w:t>
      </w:r>
      <w:r>
        <w:rPr>
          <w:b/>
          <w:bCs/>
          <w:color w:val="1F6F63"/>
          <w:sz w:val="19"/>
          <w:szCs w:val="19"/>
        </w:rPr>
        <w:t xml:space="preserve">[Organisation]</w:t>
      </w:r>
      <w:r>
        <w:t xml:space="preserve">.</w:t>
      </w:r>
    </w:p>
    <w:p>
      <w:pPr>
        <w:pStyle w:val="Heading2"/>
        <w:keepNext/>
      </w:pPr>
      <w:r>
        <w:t xml:space="preserve">5.7 Schnittstellen</w:t>
      </w:r>
    </w:p>
    <w:p>
      <w:pPr>
        <w:pStyle w:val="ListParagraph"/>
        <w:numPr>
          <w:ilvl w:val="0"/>
          <w:numId w:val="2"/>
        </w:numPr>
        <w:spacing w:after="60" w:before="0" w:line="276"/>
      </w:pPr>
      <w:r>
        <w:rPr>
          <w:b/>
          <w:bCs/>
        </w:rPr>
        <w:t xml:space="preserve">RMS:</w:t>
      </w:r>
      <w:r>
        <w:t xml:space="preserve"> Die Compliance-Risikoanalyse liefert Claim-Risiken an das Risikoinventar; das RMS liefert Bewertungsmaßstäbe und Risikoappetit zurück.</w:t>
      </w:r>
    </w:p>
    <w:p>
      <w:pPr>
        <w:pStyle w:val="ListParagraph"/>
        <w:numPr>
          <w:ilvl w:val="0"/>
          <w:numId w:val="2"/>
        </w:numPr>
        <w:spacing w:after="60" w:before="0" w:line="276"/>
      </w:pPr>
      <w:r>
        <w:rPr>
          <w:b/>
          <w:bCs/>
        </w:rPr>
        <w:t xml:space="preserve">IKS:</w:t>
      </w:r>
      <w:r>
        <w:t xml:space="preserve"> Das CMS gibt Kontrollziele und Mindestkontrollen vor; das IKS meldet Kontrollschwächen und Testergebnisse.</w:t>
      </w:r>
    </w:p>
    <w:p>
      <w:pPr>
        <w:pStyle w:val="ListParagraph"/>
        <w:numPr>
          <w:ilvl w:val="0"/>
          <w:numId w:val="2"/>
        </w:numPr>
        <w:spacing w:after="60" w:before="0" w:line="276"/>
      </w:pPr>
      <w:r>
        <w:rPr>
          <w:b/>
          <w:bCs/>
        </w:rPr>
        <w:t xml:space="preserve">Legal:</w:t>
      </w:r>
      <w:r>
        <w:t xml:space="preserve"> Auslegung, Grenzfälle, Abmahnabwehr; im KMU meist externe Kanzlei.</w:t>
      </w:r>
    </w:p>
    <w:p>
      <w:pPr>
        <w:pStyle w:val="ListParagraph"/>
        <w:numPr>
          <w:ilvl w:val="0"/>
          <w:numId w:val="2"/>
        </w:numPr>
        <w:spacing w:after="60" w:before="0" w:line="276"/>
      </w:pPr>
      <w:r>
        <w:rPr>
          <w:b/>
          <w:bCs/>
        </w:rPr>
        <w:t xml:space="preserve">Marketing und E-Commerce:</w:t>
      </w:r>
      <w:r>
        <w:t xml:space="preserve"> Hauptentstehungsort der Claims; Freigabe-Gate.</w:t>
      </w:r>
    </w:p>
    <w:p>
      <w:pPr>
        <w:pStyle w:val="ListParagraph"/>
        <w:numPr>
          <w:ilvl w:val="0"/>
          <w:numId w:val="2"/>
        </w:numPr>
        <w:spacing w:after="60" w:before="0" w:line="276"/>
      </w:pPr>
      <w:r>
        <w:rPr>
          <w:b/>
          <w:bCs/>
        </w:rPr>
        <w:t xml:space="preserve">Produktmanagement und Entwicklung:</w:t>
      </w:r>
      <w:r>
        <w:t xml:space="preserve"> Haltbarkeit, Reparierbarkeit, Updates (A10), Produktnamen.</w:t>
      </w:r>
    </w:p>
    <w:p>
      <w:pPr>
        <w:pStyle w:val="ListParagraph"/>
        <w:numPr>
          <w:ilvl w:val="0"/>
          <w:numId w:val="2"/>
        </w:numPr>
        <w:spacing w:after="60" w:before="0" w:line="276"/>
      </w:pPr>
      <w:r>
        <w:rPr>
          <w:b/>
          <w:bCs/>
        </w:rPr>
        <w:t xml:space="preserve">Sustainability:</w:t>
      </w:r>
      <w:r>
        <w:t xml:space="preserve"> Datenlieferant und fachliche Prüfung; Zukunftsziele (A6).</w:t>
      </w:r>
    </w:p>
    <w:p>
      <w:pPr>
        <w:pStyle w:val="ListParagraph"/>
        <w:numPr>
          <w:ilvl w:val="0"/>
          <w:numId w:val="2"/>
        </w:numPr>
        <w:spacing w:after="60" w:before="0" w:line="276"/>
      </w:pPr>
      <w:r>
        <w:rPr>
          <w:b/>
          <w:bCs/>
        </w:rPr>
        <w:t xml:space="preserve">Einkauf:</w:t>
      </w:r>
      <w:r>
        <w:t xml:space="preserve"> Lieferantennachweise und Vertragsklauseln.</w:t>
      </w:r>
    </w:p>
    <w:p>
      <w:pPr>
        <w:pStyle w:val="ListParagraph"/>
        <w:numPr>
          <w:ilvl w:val="0"/>
          <w:numId w:val="2"/>
        </w:numPr>
        <w:spacing w:after="60" w:before="0" w:line="276"/>
      </w:pPr>
      <w:r>
        <w:rPr>
          <w:b/>
          <w:bCs/>
        </w:rPr>
        <w:t xml:space="preserve">Umweltmanagement (ISO 14001, EMAS):</w:t>
      </w:r>
      <w:r>
        <w:t xml:space="preserve"> Konsistenz der Umweltkommunikation (Abschnitt 7.4) </w:t>
      </w:r>
      <w:r>
        <w:rPr>
          <w:color w:val="5E6B78"/>
          <w:sz w:val="18"/>
          <w:szCs w:val="18"/>
        </w:rPr>
        <w:t xml:space="preserve">[S10]</w:t>
      </w:r>
      <w:r>
        <w:t xml:space="preserve">.</w:t>
      </w:r>
    </w:p>
    <w:p>
      <w:pPr>
        <w:pStyle w:val="ListParagraph"/>
        <w:numPr>
          <w:ilvl w:val="0"/>
          <w:numId w:val="2"/>
        </w:numPr>
        <w:spacing w:after="60" w:before="0" w:line="276"/>
      </w:pPr>
      <w:r>
        <w:rPr>
          <w:b/>
          <w:bCs/>
        </w:rPr>
        <w:t xml:space="preserve">Hinweisgeber-Meldestelle:</w:t>
      </w:r>
      <w:r>
        <w:t xml:space="preserve"> Weiterleitung von Fällen.</w:t>
      </w:r>
    </w:p>
    <w:p>
      <w:pPr>
        <w:spacing w:after="40"/>
      </w:pPr>
    </w:p>
    <w:p>
      <w:pPr>
        <w:pStyle w:val="Heading1"/>
        <w:keepNext/>
        <w:pageBreakBefore/>
      </w:pPr>
      <w:r>
        <w:t xml:space="preserve">6 Risikomanagementsystem (RMS)</w:t>
      </w:r>
    </w:p>
    <w:p>
      <w:pPr>
        <w:pStyle w:val="Heading2"/>
        <w:keepNext/>
      </w:pPr>
      <w:r>
        <w:t xml:space="preserve">6.1 Bisherige Funktion</w:t>
      </w:r>
    </w:p>
    <w:p>
      <w:pPr>
        <w:spacing w:after="120" w:before="0" w:line="276"/>
      </w:pPr>
      <w:r>
        <w:t xml:space="preserve">Das RMS identifiziert, bewertet, steuert, kommuniziert und überwacht Risiken, die das Erreichen der Unternehmensziele gefährden. IDW PS 981 beschreibt acht Grundelemente: Risikokultur, Ziele, Organisation, Risikoidentifikation, Risikobewertung, Risikosteuerung, Risikokommunikation sowie Überwachung und Verbesserung </w:t>
      </w:r>
      <w:r>
        <w:rPr>
          <w:color w:val="5E6B78"/>
          <w:sz w:val="18"/>
          <w:szCs w:val="18"/>
        </w:rPr>
        <w:t xml:space="preserve">[S2]</w:t>
      </w:r>
      <w:r>
        <w:t xml:space="preserve">. ISO 31000:2018 beschreibt den Prozess aus Anwendungsbereich, Kontext und Kriterien, Risikobeurteilung (Identifikation, Analyse, Bewertung), Risikobehandlung, Überwachung und Überprüfung sowie Aufzeichnung und Berichterstattung. Getragen wird er von acht Grundsätzen, darunter „integriert“ und „beste verfügbare Information“ </w:t>
      </w:r>
      <w:r>
        <w:rPr>
          <w:color w:val="5E6B78"/>
          <w:sz w:val="18"/>
          <w:szCs w:val="18"/>
        </w:rPr>
        <w:t xml:space="preserve">[S5]</w:t>
      </w:r>
      <w:r>
        <w:t xml:space="preserve">. COSO ERM (2017) verknüpft Risiko mit Strategie und Leistung </w:t>
      </w:r>
      <w:r>
        <w:rPr>
          <w:color w:val="5E6B78"/>
          <w:sz w:val="18"/>
          <w:szCs w:val="18"/>
        </w:rPr>
        <w:t xml:space="preserve">[S6]</w:t>
      </w:r>
      <w:r>
        <w:t xml:space="preserve">.</w:t>
      </w:r>
    </w:p>
    <w:p>
      <w:pPr>
        <w:spacing w:after="120" w:before="0" w:line="276"/>
      </w:pPr>
      <w:r>
        <w:t xml:space="preserve">Gesetzlicher Kern ist die Früherkennung bestandsgefährdender Entwicklungen (§ 91 Abs. 2 AktG; für alle juristischen Personen § 1 StaRUG) </w:t>
      </w:r>
      <w:r>
        <w:rPr>
          <w:color w:val="5E6B78"/>
          <w:sz w:val="18"/>
          <w:szCs w:val="18"/>
        </w:rPr>
        <w:t xml:space="preserve">[R9][R11]</w:t>
      </w:r>
      <w:r>
        <w:t xml:space="preserve">. Viele Unternehmen gehen darüber hinaus und führen ein Risikoinventar mit Kategorien wie strategisch, operativ, finanziell, rechtlich/Compliance und Reputation.</w:t>
      </w:r>
    </w:p>
    <w:p>
      <w:pPr>
        <w:pStyle w:val="Heading2"/>
        <w:keepNext/>
      </w:pPr>
      <w:r>
        <w:t xml:space="preserve">6.2 Neue Anforderungen durch EmpCo aus RMS-Sicht</w:t>
      </w:r>
    </w:p>
    <w:p>
      <w:pPr>
        <w:spacing w:after="120" w:before="0" w:line="276"/>
      </w:pPr>
      <w:r>
        <w:t xml:space="preserve">EmpCo stellt keine Anforderungen an das RMS. Es verändert aber das Risikoprofil. Soweit diese Veränderung wesentlich ist, muss das RMS sie nach seiner eigenen Methodik erfassen </w:t>
      </w:r>
      <w:r>
        <w:rPr>
          <w:b/>
          <w:bCs/>
          <w:color w:val="1F6F63"/>
          <w:sz w:val="19"/>
          <w:szCs w:val="19"/>
        </w:rPr>
        <w:t xml:space="preserve">[Organisation]</w:t>
      </w:r>
      <w:r>
        <w:t xml:space="preserve">:</w:t>
      </w:r>
    </w:p>
    <w:p>
      <w:pPr>
        <w:pStyle w:val="ListParagraph"/>
        <w:numPr>
          <w:ilvl w:val="0"/>
          <w:numId w:val="2"/>
        </w:numPr>
        <w:spacing w:after="60" w:before="0" w:line="276"/>
      </w:pPr>
      <w:r>
        <w:rPr>
          <w:b/>
          <w:bCs/>
        </w:rPr>
        <w:t xml:space="preserve">Rechtsrisiko:</w:t>
      </w:r>
      <w:r>
        <w:t xml:space="preserve"> Unterlassung und Beseitigung bis zum Rückruf; Vertragsstrafen und Ordnungsgelder bei Wiederholung; Kosten; Schadensersatz von Verbrauchern (RB Kap. 9.2) </w:t>
      </w:r>
      <w:r>
        <w:rPr>
          <w:color w:val="5E6B78"/>
          <w:sz w:val="18"/>
          <w:szCs w:val="18"/>
        </w:rPr>
        <w:t xml:space="preserve">[I1]</w:t>
      </w:r>
      <w:r>
        <w:t xml:space="preserve">.</w:t>
      </w:r>
    </w:p>
    <w:p>
      <w:pPr>
        <w:pStyle w:val="ListParagraph"/>
        <w:numPr>
          <w:ilvl w:val="0"/>
          <w:numId w:val="2"/>
        </w:numPr>
        <w:spacing w:after="60" w:before="0" w:line="276"/>
      </w:pPr>
      <w:r>
        <w:rPr>
          <w:b/>
          <w:bCs/>
        </w:rPr>
        <w:t xml:space="preserve">Reputationsrisiko:</w:t>
      </w:r>
      <w:r>
        <w:t xml:space="preserve"> öffentlich geführte Verfahren und Medienberichte, etwa zu Klimaaussagen </w:t>
      </w:r>
      <w:r>
        <w:rPr>
          <w:color w:val="5E6B78"/>
          <w:sz w:val="18"/>
          <w:szCs w:val="18"/>
        </w:rPr>
        <w:t xml:space="preserve">[L12]</w:t>
      </w:r>
      <w:r>
        <w:t xml:space="preserve">.</w:t>
      </w:r>
    </w:p>
    <w:p>
      <w:pPr>
        <w:pStyle w:val="ListParagraph"/>
        <w:numPr>
          <w:ilvl w:val="0"/>
          <w:numId w:val="2"/>
        </w:numPr>
        <w:spacing w:after="60" w:before="0" w:line="276"/>
      </w:pPr>
      <w:r>
        <w:rPr>
          <w:b/>
          <w:bCs/>
        </w:rPr>
        <w:t xml:space="preserve">Strategisches Risiko:</w:t>
      </w:r>
      <w:r>
        <w:t xml:space="preserve"> Positionierungen wie „klimaneutral“ oder eigene Nachhaltigkeitssiegel fallen weg; Differenzierung muss neu begründet werden. Zukunftsaussagen binden Ressourcen und werden extern geprüft.</w:t>
      </w:r>
    </w:p>
    <w:p>
      <w:pPr>
        <w:pStyle w:val="ListParagraph"/>
        <w:numPr>
          <w:ilvl w:val="0"/>
          <w:numId w:val="2"/>
        </w:numPr>
        <w:spacing w:after="60" w:before="0" w:line="276"/>
      </w:pPr>
      <w:r>
        <w:rPr>
          <w:b/>
          <w:bCs/>
        </w:rPr>
        <w:t xml:space="preserve">Operatives Risiko:</w:t>
      </w:r>
      <w:r>
        <w:t xml:space="preserve"> Neuverpackung, Überkleben und Abverkaufsverluste bei Altbeständen; fehlende oder veraltete Daten, etwa nach einem Lieferantenwechsel.</w:t>
      </w:r>
    </w:p>
    <w:p>
      <w:pPr>
        <w:pStyle w:val="ListParagraph"/>
        <w:numPr>
          <w:ilvl w:val="0"/>
          <w:numId w:val="2"/>
        </w:numPr>
        <w:spacing w:after="60" w:before="0" w:line="276"/>
      </w:pPr>
      <w:r>
        <w:rPr>
          <w:b/>
          <w:bCs/>
        </w:rPr>
        <w:t xml:space="preserve">Gegenrisiko „Greenhushing“:</w:t>
      </w:r>
      <w:r>
        <w:t xml:space="preserve"> Überkorrektur führt zum Verzicht auf zulässige, belegbare Aussagen und damit zum Verlust von Differenzierung. Das ist kein Rechtsrisiko, aber ein strategisches.</w:t>
      </w:r>
    </w:p>
    <w:p>
      <w:pPr>
        <w:pStyle w:val="ListParagraph"/>
        <w:numPr>
          <w:ilvl w:val="0"/>
          <w:numId w:val="2"/>
        </w:numPr>
        <w:spacing w:after="60" w:before="0" w:line="276"/>
      </w:pPr>
      <w:r>
        <w:rPr>
          <w:b/>
          <w:bCs/>
        </w:rPr>
        <w:t xml:space="preserve">Bestandsgefährdung</w:t>
      </w:r>
      <w:r>
        <w:t xml:space="preserve"> ist die Ausnahme. Sie kommt in Betracht, wenn das Geschäftsmodell wesentlich auf einer Aussage beruht, die jetzt unzulässig ist.</w:t>
      </w:r>
    </w:p>
    <w:p>
      <w:pPr>
        <w:spacing w:after="40"/>
      </w:pPr>
    </w:p>
    <w:p>
      <w:pPr>
        <w:pStyle w:val="Heading2"/>
        <w:keepNext/>
      </w:pPr>
      <w:r>
        <w:t xml:space="preserve">6.3 Neu aufzunehmende Elemente</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313"/>
        <w:gridCol w:w="6071"/>
        <w:gridCol w:w="1254"/>
      </w:tblGrid>
      <w:tr>
        <w:trPr>
          <w:cantSplit/>
          <w:tblHeader/>
        </w:trPr>
        <w:tc>
          <w:tcPr>
            <w:tcW w:type="dxa" w:w="231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Element</w:t>
            </w:r>
          </w:p>
        </w:tc>
        <w:tc>
          <w:tcPr>
            <w:tcW w:type="dxa" w:w="6071"/>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Inhalt</w:t>
            </w:r>
          </w:p>
        </w:tc>
        <w:tc>
          <w:tcPr>
            <w:tcW w:type="dxa" w:w="1254"/>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Kennz.</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Unter­kategorie „Claim-Risiko“</w:t>
            </w:r>
          </w:p>
        </w:tc>
        <w:tc>
          <w:tcPr>
            <w:tcW w:type="dxa" w:w="6071"/>
            <w:tcMar>
              <w:top w:type="dxa" w:w="50"/>
              <w:left w:type="dxa" w:w="90"/>
              <w:bottom w:type="dxa" w:w="50"/>
              <w:right w:type="dxa" w:w="90"/>
            </w:tcMar>
            <w:vAlign w:val="top"/>
          </w:tcPr>
          <w:p>
            <w:pPr>
              <w:spacing w:after="30" w:before="0" w:line="252"/>
            </w:pPr>
            <w:r>
              <w:rPr>
                <w:b w:val="false"/>
                <w:bCs w:val="false"/>
                <w:sz w:val="17"/>
                <w:szCs w:val="17"/>
              </w:rPr>
              <w:t xml:space="preserve">Unter dem Rechts- bzw. Compliance-Risiko mit der Auswirkungsdimension Reputation. Ein einheitlicher Name für Green-Claim-, Sustainability-Communication- und Obsoleszenz­risiken (Kapitel 8).</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313"/>
            <w:shd w:fill="F3F5F7" w:color="auto" w:val="clear"/>
            <w:tcMar>
              <w:top w:type="dxa" w:w="50"/>
              <w:left w:type="dxa" w:w="90"/>
              <w:bottom w:type="dxa" w:w="50"/>
              <w:right w:type="dxa" w:w="90"/>
            </w:tcMar>
            <w:vAlign w:val="top"/>
          </w:tcPr>
          <w:p>
            <w:pPr>
              <w:spacing w:after="30" w:before="0" w:line="252"/>
            </w:pPr>
            <w:r>
              <w:rPr>
                <w:b/>
                <w:bCs/>
                <w:sz w:val="17"/>
                <w:szCs w:val="17"/>
              </w:rPr>
              <w:t xml:space="preserve">Treiber­katalog</w:t>
            </w:r>
          </w:p>
        </w:tc>
        <w:tc>
          <w:tcPr>
            <w:tcW w:type="dxa" w:w="607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Zahl und Art der Claims, B2C-Anteil, Kanäle, Anteil nicht registrierter Claims, Abhängigkeit von Lieferanten­daten, Zertifikatslaufzeiten, Altbestände, Aktivität der Durchsetzer in der Branche.</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Risiko­appetit für Claims</w:t>
            </w:r>
          </w:p>
        </w:tc>
        <w:tc>
          <w:tcPr>
            <w:tcW w:type="dxa" w:w="6071"/>
            <w:tcMar>
              <w:top w:type="dxa" w:w="50"/>
              <w:left w:type="dxa" w:w="90"/>
              <w:bottom w:type="dxa" w:w="50"/>
              <w:right w:type="dxa" w:w="90"/>
            </w:tcMar>
            <w:vAlign w:val="top"/>
          </w:tcPr>
          <w:p>
            <w:pPr>
              <w:spacing w:after="30" w:before="0" w:line="252"/>
            </w:pPr>
            <w:r>
              <w:rPr>
                <w:b w:val="false"/>
                <w:bCs w:val="false"/>
                <w:sz w:val="17"/>
                <w:szCs w:val="17"/>
              </w:rPr>
              <w:t xml:space="preserve">Zum Beispiel: „keine allgemeinen Umwelt­aussagen ohne Spitzenleistung“, „keine produktbezogenen Neutralitäts­aussagen“, „Zukunfts­aussagen nur mit Beschluss der Geschäfts­leitung“.</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313"/>
            <w:shd w:fill="F3F5F7" w:color="auto" w:val="clear"/>
            <w:tcMar>
              <w:top w:type="dxa" w:w="50"/>
              <w:left w:type="dxa" w:w="90"/>
              <w:bottom w:type="dxa" w:w="50"/>
              <w:right w:type="dxa" w:w="90"/>
            </w:tcMar>
            <w:vAlign w:val="top"/>
          </w:tcPr>
          <w:p>
            <w:pPr>
              <w:spacing w:after="30" w:before="0" w:line="252"/>
            </w:pPr>
            <w:r>
              <w:rPr>
                <w:b/>
                <w:bCs/>
                <w:sz w:val="17"/>
                <w:szCs w:val="17"/>
              </w:rPr>
              <w:t xml:space="preserve">Risk Owner</w:t>
            </w:r>
          </w:p>
        </w:tc>
        <w:tc>
          <w:tcPr>
            <w:tcW w:type="dxa" w:w="607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Verantwortliche Person für die Unter­kategorie, z. B. Leitung Marketing oder Geschäfts­leitung, unterstützt durch den Claim-Governance-Owner.</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Szenario</w:t>
            </w:r>
          </w:p>
        </w:tc>
        <w:tc>
          <w:tcPr>
            <w:tcW w:type="dxa" w:w="6071"/>
            <w:tcMar>
              <w:top w:type="dxa" w:w="50"/>
              <w:left w:type="dxa" w:w="90"/>
              <w:bottom w:type="dxa" w:w="50"/>
              <w:right w:type="dxa" w:w="90"/>
            </w:tcMar>
            <w:vAlign w:val="top"/>
          </w:tcPr>
          <w:p>
            <w:pPr>
              <w:spacing w:after="30" w:before="0" w:line="252"/>
            </w:pPr>
            <w:r>
              <w:rPr>
                <w:b w:val="false"/>
                <w:bCs w:val="false"/>
                <w:sz w:val="17"/>
                <w:szCs w:val="17"/>
              </w:rPr>
              <w:t xml:space="preserve">Zum Beispiel „Abmahnung wegen unzulässiger Umwelt­aussage auf der Verpackung mit Unterlassungs­erklärung, Rückruf aus dem Handel und Neudruck“; Bewertung von Kosten, Umsatzausfall und Reputationswirkung.</w:t>
            </w:r>
          </w:p>
        </w:tc>
        <w:tc>
          <w:tcPr>
            <w:tcW w:type="dxa" w:w="1254"/>
            <w:tcMar>
              <w:top w:type="dxa" w:w="50"/>
              <w:left w:type="dxa" w:w="90"/>
              <w:bottom w:type="dxa" w:w="50"/>
              <w:right w:type="dxa" w:w="90"/>
            </w:tcMar>
            <w:vAlign w:val="top"/>
          </w:tcPr>
          <w:p>
            <w:pPr>
              <w:spacing w:after="30" w:before="0" w:line="252"/>
            </w:pPr>
            <w:r>
              <w:rPr>
                <w:b/>
                <w:bCs/>
                <w:color w:val="5B4B8A"/>
                <w:sz w:val="15"/>
                <w:szCs w:val="15"/>
              </w:rPr>
              <w:t xml:space="preserve">[Best Practice]</w:t>
            </w:r>
          </w:p>
        </w:tc>
      </w:tr>
      <w:tr>
        <w:trPr>
          <w:cantSplit/>
        </w:trPr>
        <w:tc>
          <w:tcPr>
            <w:tcW w:type="dxa" w:w="2313"/>
            <w:shd w:fill="F3F5F7" w:color="auto" w:val="clear"/>
            <w:tcMar>
              <w:top w:type="dxa" w:w="50"/>
              <w:left w:type="dxa" w:w="90"/>
              <w:bottom w:type="dxa" w:w="50"/>
              <w:right w:type="dxa" w:w="90"/>
            </w:tcMar>
            <w:vAlign w:val="top"/>
          </w:tcPr>
          <w:p>
            <w:pPr>
              <w:spacing w:after="30" w:before="0" w:line="252"/>
            </w:pPr>
            <w:r>
              <w:rPr>
                <w:b/>
                <w:bCs/>
                <w:sz w:val="17"/>
                <w:szCs w:val="17"/>
              </w:rPr>
              <w:t xml:space="preserve">Frühwarn­indikatoren (KRI)</w:t>
            </w:r>
          </w:p>
        </w:tc>
        <w:tc>
          <w:tcPr>
            <w:tcW w:type="dxa" w:w="607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Claims ohne vollständiges Dossier; Claims mit abgelaufener Evidenz; ungeplante Funde im Markt; Beanstandungen und Abmahnungen; Status der Altbestände (RB Kap. 8.6) </w:t>
            </w:r>
            <w:r>
              <w:rPr>
                <w:b w:val="false"/>
                <w:bCs w:val="false"/>
                <w:color w:val="5E6B78"/>
                <w:sz w:val="14"/>
                <w:szCs w:val="14"/>
              </w:rPr>
              <w:t xml:space="preserve">[I1]</w:t>
            </w:r>
            <w:r>
              <w:rPr>
                <w:b w:val="false"/>
                <w:bCs w:val="false"/>
                <w:sz w:val="17"/>
                <w:szCs w:val="17"/>
              </w:rPr>
              <w:t xml:space="preserve">.</w:t>
            </w:r>
          </w:p>
        </w:tc>
        <w:tc>
          <w:tcPr>
            <w:tcW w:type="dxa" w:w="1254"/>
            <w:shd w:fill="F3F5F7" w:color="auto" w:val="clear"/>
            <w:tcMar>
              <w:top w:type="dxa" w:w="50"/>
              <w:left w:type="dxa" w:w="90"/>
              <w:bottom w:type="dxa" w:w="50"/>
              <w:right w:type="dxa" w:w="90"/>
            </w:tcMar>
            <w:vAlign w:val="top"/>
          </w:tcPr>
          <w:p>
            <w:pPr>
              <w:spacing w:after="30" w:before="0" w:line="252"/>
            </w:pPr>
            <w:r>
              <w:rPr>
                <w:b/>
                <w:bCs/>
                <w:color w:val="5B4B8A"/>
                <w:sz w:val="15"/>
                <w:szCs w:val="15"/>
              </w:rPr>
              <w:t xml:space="preserve">[Best Practice]</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Beobachtung neuer Risiken</w:t>
            </w:r>
          </w:p>
        </w:tc>
        <w:tc>
          <w:tcPr>
            <w:tcW w:type="dxa" w:w="6071"/>
            <w:tcMar>
              <w:top w:type="dxa" w:w="50"/>
              <w:left w:type="dxa" w:w="90"/>
              <w:bottom w:type="dxa" w:w="50"/>
              <w:right w:type="dxa" w:w="90"/>
            </w:tcMar>
            <w:vAlign w:val="top"/>
          </w:tcPr>
          <w:p>
            <w:pPr>
              <w:spacing w:after="30" w:before="0" w:line="252"/>
            </w:pPr>
            <w:r>
              <w:rPr>
                <w:b w:val="false"/>
                <w:bCs w:val="false"/>
                <w:sz w:val="17"/>
                <w:szCs w:val="17"/>
              </w:rPr>
              <w:t xml:space="preserve">Rechtsprechung zu den neuen Tatbeständen, § 15b UWG, weitere EU-Rechtsakte mit Claim-Bezug (z. B. Verpackungsverordnung, Ökodesign-Verordnung, Recht auf Reparatur </w:t>
            </w:r>
            <w:r>
              <w:rPr>
                <w:b w:val="false"/>
                <w:bCs w:val="false"/>
                <w:color w:val="5E6B78"/>
                <w:sz w:val="14"/>
                <w:szCs w:val="14"/>
              </w:rPr>
              <w:t xml:space="preserve">[R15]</w:t>
            </w:r>
            <w:r>
              <w:rPr>
                <w:b w:val="false"/>
                <w:bCs w:val="false"/>
                <w:sz w:val="17"/>
                <w:szCs w:val="17"/>
              </w:rPr>
              <w:t xml:space="preserve">).</w:t>
            </w:r>
          </w:p>
        </w:tc>
        <w:tc>
          <w:tcPr>
            <w:tcW w:type="dxa" w:w="1254"/>
            <w:tcMar>
              <w:top w:type="dxa" w:w="50"/>
              <w:left w:type="dxa" w:w="90"/>
              <w:bottom w:type="dxa" w:w="50"/>
              <w:right w:type="dxa" w:w="90"/>
            </w:tcMar>
            <w:vAlign w:val="top"/>
          </w:tcPr>
          <w:p>
            <w:pPr>
              <w:spacing w:after="30" w:before="0" w:line="252"/>
            </w:pPr>
            <w:r>
              <w:rPr>
                <w:b/>
                <w:bCs/>
                <w:color w:val="5B4B8A"/>
                <w:sz w:val="15"/>
                <w:szCs w:val="15"/>
              </w:rPr>
              <w:t xml:space="preserve">[Best Practice]</w:t>
            </w:r>
          </w:p>
        </w:tc>
      </w:tr>
    </w:tbl>
    <w:p>
      <w:pPr>
        <w:spacing w:after="120"/>
      </w:pPr>
    </w:p>
    <w:p>
      <w:pPr>
        <w:pStyle w:val="Heading2"/>
        <w:keepNext/>
      </w:pPr>
      <w:r>
        <w:t xml:space="preserve">6.4 Anzupassende Elemente und Wiederverwendung</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409"/>
        <w:gridCol w:w="5782"/>
        <w:gridCol w:w="1447"/>
      </w:tblGrid>
      <w:tr>
        <w:trPr>
          <w:cantSplit/>
          <w:tblHeader/>
        </w:trPr>
        <w:tc>
          <w:tcPr>
            <w:tcW w:type="dxa" w:w="2409"/>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Bestehendes Element</w:t>
            </w:r>
          </w:p>
        </w:tc>
        <w:tc>
          <w:tcPr>
            <w:tcW w:type="dxa" w:w="578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Anpassung</w:t>
            </w:r>
          </w:p>
        </w:tc>
        <w:tc>
          <w:tcPr>
            <w:tcW w:type="dxa" w:w="1447"/>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Kennz.</w:t>
            </w:r>
          </w:p>
        </w:tc>
      </w:tr>
      <w:tr>
        <w:trPr>
          <w:cantSplit/>
        </w:trPr>
        <w:tc>
          <w:tcPr>
            <w:tcW w:type="dxa" w:w="2409"/>
            <w:tcMar>
              <w:top w:type="dxa" w:w="50"/>
              <w:left w:type="dxa" w:w="90"/>
              <w:bottom w:type="dxa" w:w="50"/>
              <w:right w:type="dxa" w:w="90"/>
            </w:tcMar>
            <w:vAlign w:val="top"/>
          </w:tcPr>
          <w:p>
            <w:pPr>
              <w:spacing w:after="30" w:before="0" w:line="252"/>
            </w:pPr>
            <w:r>
              <w:rPr>
                <w:b/>
                <w:bCs/>
                <w:sz w:val="17"/>
                <w:szCs w:val="17"/>
              </w:rPr>
              <w:t xml:space="preserve">Risiko­katalog, Taxonomie</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Unter­kategorie ergänzen; Querverweise zu Lieferanten-, Produkt- und Reputations­risiken.</w:t>
            </w:r>
          </w:p>
        </w:tc>
        <w:tc>
          <w:tcPr>
            <w:tcW w:type="dxa" w:w="1447"/>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409"/>
            <w:shd w:fill="F3F5F7" w:color="auto" w:val="clear"/>
            <w:tcMar>
              <w:top w:type="dxa" w:w="50"/>
              <w:left w:type="dxa" w:w="90"/>
              <w:bottom w:type="dxa" w:w="50"/>
              <w:right w:type="dxa" w:w="90"/>
            </w:tcMar>
            <w:vAlign w:val="top"/>
          </w:tcPr>
          <w:p>
            <w:pPr>
              <w:spacing w:after="30" w:before="0" w:line="252"/>
            </w:pPr>
            <w:r>
              <w:rPr>
                <w:b/>
                <w:bCs/>
                <w:sz w:val="17"/>
                <w:szCs w:val="17"/>
              </w:rPr>
              <w:t xml:space="preserve">Bewertungskriterien</w:t>
            </w:r>
          </w:p>
        </w:tc>
        <w:tc>
          <w:tcPr>
            <w:tcW w:type="dxa" w:w="578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Schadensdimension um Vertragsstrafen, Ordnungsgelder, Rückruf- und Neudruckkosten erweitern. Eintrittswahrscheinlichkeit an Entdeckbarkeit (öffentliche Kanäle, Per-se-Verbote ohne Relevanzschwelle) und Durchsetzungsaktivität koppeln (RB Kap. 9.3) </w:t>
            </w:r>
            <w:r>
              <w:rPr>
                <w:b w:val="false"/>
                <w:bCs w:val="false"/>
                <w:color w:val="5E6B78"/>
                <w:sz w:val="14"/>
                <w:szCs w:val="14"/>
              </w:rPr>
              <w:t xml:space="preserve">[I1]</w:t>
            </w:r>
            <w:r>
              <w:rPr>
                <w:b w:val="false"/>
                <w:bCs w:val="false"/>
                <w:sz w:val="17"/>
                <w:szCs w:val="17"/>
              </w:rPr>
              <w:t xml:space="preserve">.</w:t>
            </w:r>
          </w:p>
        </w:tc>
        <w:tc>
          <w:tcPr>
            <w:tcW w:type="dxa" w:w="1447"/>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409"/>
            <w:tcMar>
              <w:top w:type="dxa" w:w="50"/>
              <w:left w:type="dxa" w:w="90"/>
              <w:bottom w:type="dxa" w:w="50"/>
              <w:right w:type="dxa" w:w="90"/>
            </w:tcMar>
            <w:vAlign w:val="top"/>
          </w:tcPr>
          <w:p>
            <w:pPr>
              <w:spacing w:after="30" w:before="0" w:line="252"/>
            </w:pPr>
            <w:r>
              <w:rPr>
                <w:b/>
                <w:bCs/>
                <w:sz w:val="17"/>
                <w:szCs w:val="17"/>
              </w:rPr>
              <w:t xml:space="preserve">Risiko­inventur</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Anlassbezogene Aktualisierung nach der Rechtsänderung zum 27.09.2026 und bei neuen Kampagnen, Produktlinien oder Zielen.</w:t>
            </w:r>
          </w:p>
        </w:tc>
        <w:tc>
          <w:tcPr>
            <w:tcW w:type="dxa" w:w="1447"/>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409"/>
            <w:shd w:fill="F3F5F7" w:color="auto" w:val="clear"/>
            <w:tcMar>
              <w:top w:type="dxa" w:w="50"/>
              <w:left w:type="dxa" w:w="90"/>
              <w:bottom w:type="dxa" w:w="50"/>
              <w:right w:type="dxa" w:w="90"/>
            </w:tcMar>
            <w:vAlign w:val="top"/>
          </w:tcPr>
          <w:p>
            <w:pPr>
              <w:spacing w:after="30" w:before="0" w:line="252"/>
            </w:pPr>
            <w:r>
              <w:rPr>
                <w:b/>
                <w:bCs/>
                <w:sz w:val="17"/>
                <w:szCs w:val="17"/>
              </w:rPr>
              <w:t xml:space="preserve">Risiko­berichterstattung</w:t>
            </w:r>
          </w:p>
        </w:tc>
        <w:tc>
          <w:tcPr>
            <w:tcW w:type="dxa" w:w="578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Claim-Risiko als Position im Risiko­bericht an Geschäfts­leitung und Aufsichtsgremium; bei Wesentlichkeit im Risiko­bericht des Lageberichts </w:t>
            </w:r>
            <w:r>
              <w:rPr>
                <w:b w:val="false"/>
                <w:bCs w:val="false"/>
                <w:color w:val="5E6B78"/>
                <w:sz w:val="14"/>
                <w:szCs w:val="14"/>
              </w:rPr>
              <w:t xml:space="preserve">[R17]</w:t>
            </w:r>
            <w:r>
              <w:rPr>
                <w:b w:val="false"/>
                <w:bCs w:val="false"/>
                <w:sz w:val="17"/>
                <w:szCs w:val="17"/>
              </w:rPr>
              <w:t xml:space="preserve">.</w:t>
            </w:r>
          </w:p>
        </w:tc>
        <w:tc>
          <w:tcPr>
            <w:tcW w:type="dxa" w:w="1447"/>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Lagebericht </w:t>
            </w:r>
            <w:r>
              <w:rPr>
                <w:b/>
                <w:bCs/>
                <w:color w:val="B04A16"/>
                <w:sz w:val="15"/>
                <w:szCs w:val="15"/>
              </w:rPr>
              <w:t xml:space="preserve">[Pflicht]</w:t>
            </w:r>
            <w:r>
              <w:rPr>
                <w:b w:val="false"/>
                <w:bCs w:val="false"/>
                <w:sz w:val="17"/>
                <w:szCs w:val="17"/>
              </w:rPr>
              <w:t xml:space="preserve"> (bedingt)</w:t>
            </w:r>
          </w:p>
        </w:tc>
      </w:tr>
      <w:tr>
        <w:trPr>
          <w:cantSplit/>
        </w:trPr>
        <w:tc>
          <w:tcPr>
            <w:tcW w:type="dxa" w:w="2409"/>
            <w:tcMar>
              <w:top w:type="dxa" w:w="50"/>
              <w:left w:type="dxa" w:w="90"/>
              <w:bottom w:type="dxa" w:w="50"/>
              <w:right w:type="dxa" w:w="90"/>
            </w:tcMar>
            <w:vAlign w:val="top"/>
          </w:tcPr>
          <w:p>
            <w:pPr>
              <w:spacing w:after="30" w:before="0" w:line="252"/>
            </w:pPr>
            <w:r>
              <w:rPr>
                <w:b/>
                <w:bCs/>
                <w:sz w:val="17"/>
                <w:szCs w:val="17"/>
              </w:rPr>
              <w:t xml:space="preserve">Strategie und Planung</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Nachhaltigkeitsstrategie, Transitions­plan und Marketing­planung auf Claim-Folgen prüfen, insbesondere Zukunfts­aussagen.</w:t>
            </w:r>
          </w:p>
        </w:tc>
        <w:tc>
          <w:tcPr>
            <w:tcW w:type="dxa" w:w="1447"/>
            <w:tcMar>
              <w:top w:type="dxa" w:w="50"/>
              <w:left w:type="dxa" w:w="90"/>
              <w:bottom w:type="dxa" w:w="50"/>
              <w:right w:type="dxa" w:w="90"/>
            </w:tcMar>
            <w:vAlign w:val="top"/>
          </w:tcPr>
          <w:p>
            <w:pPr>
              <w:spacing w:after="30" w:before="0" w:line="252"/>
            </w:pPr>
            <w:r>
              <w:rPr>
                <w:b/>
                <w:bCs/>
                <w:color w:val="5B4B8A"/>
                <w:sz w:val="15"/>
                <w:szCs w:val="15"/>
              </w:rPr>
              <w:t xml:space="preserve">[Best Practice]</w:t>
            </w:r>
          </w:p>
        </w:tc>
      </w:tr>
      <w:tr>
        <w:trPr>
          <w:cantSplit/>
        </w:trPr>
        <w:tc>
          <w:tcPr>
            <w:tcW w:type="dxa" w:w="2409"/>
            <w:shd w:fill="F3F5F7" w:color="auto" w:val="clear"/>
            <w:tcMar>
              <w:top w:type="dxa" w:w="50"/>
              <w:left w:type="dxa" w:w="90"/>
              <w:bottom w:type="dxa" w:w="50"/>
              <w:right w:type="dxa" w:w="90"/>
            </w:tcMar>
            <w:vAlign w:val="top"/>
          </w:tcPr>
          <w:p>
            <w:pPr>
              <w:spacing w:after="30" w:before="0" w:line="252"/>
            </w:pPr>
            <w:r>
              <w:rPr>
                <w:b/>
                <w:bCs/>
                <w:sz w:val="17"/>
                <w:szCs w:val="17"/>
              </w:rPr>
              <w:t xml:space="preserve">Lieferanten­risiko­management</w:t>
            </w:r>
          </w:p>
        </w:tc>
        <w:tc>
          <w:tcPr>
            <w:tcW w:type="dxa" w:w="578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Datenverfügbarkeit und Nachweisqualität als Bewertungskriterium.</w:t>
            </w:r>
          </w:p>
        </w:tc>
        <w:tc>
          <w:tcPr>
            <w:tcW w:type="dxa" w:w="1447"/>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409"/>
            <w:tcMar>
              <w:top w:type="dxa" w:w="50"/>
              <w:left w:type="dxa" w:w="90"/>
              <w:bottom w:type="dxa" w:w="50"/>
              <w:right w:type="dxa" w:w="90"/>
            </w:tcMar>
            <w:vAlign w:val="top"/>
          </w:tcPr>
          <w:p>
            <w:pPr>
              <w:spacing w:after="30" w:before="0" w:line="252"/>
            </w:pPr>
            <w:r>
              <w:rPr>
                <w:b/>
                <w:bCs/>
                <w:sz w:val="17"/>
                <w:szCs w:val="17"/>
              </w:rPr>
              <w:t xml:space="preserve">Früherkennung (§ 91 Abs. 2 AktG, § 1 StaRUG)</w:t>
            </w:r>
          </w:p>
        </w:tc>
        <w:tc>
          <w:tcPr>
            <w:tcW w:type="dxa" w:w="5782"/>
            <w:tcMar>
              <w:top w:type="dxa" w:w="50"/>
              <w:left w:type="dxa" w:w="90"/>
              <w:bottom w:type="dxa" w:w="50"/>
              <w:right w:type="dxa" w:w="90"/>
            </w:tcMar>
            <w:vAlign w:val="top"/>
          </w:tcPr>
          <w:p>
            <w:pPr>
              <w:spacing w:after="30" w:before="0" w:line="252"/>
            </w:pPr>
            <w:r>
              <w:rPr>
                <w:b w:val="false"/>
                <w:bCs w:val="false"/>
                <w:sz w:val="17"/>
                <w:szCs w:val="17"/>
              </w:rPr>
              <w:t xml:space="preserve">Nur bei bestandsgefährdender Exposition gesondert aufnehmen.</w:t>
            </w:r>
          </w:p>
        </w:tc>
        <w:tc>
          <w:tcPr>
            <w:tcW w:type="dxa" w:w="1447"/>
            <w:tcMar>
              <w:top w:type="dxa" w:w="50"/>
              <w:left w:type="dxa" w:w="90"/>
              <w:bottom w:type="dxa" w:w="50"/>
              <w:right w:type="dxa" w:w="90"/>
            </w:tcMar>
            <w:vAlign w:val="top"/>
          </w:tcPr>
          <w:p>
            <w:pPr>
              <w:spacing w:after="30" w:before="0" w:line="252"/>
            </w:pPr>
            <w:r>
              <w:rPr>
                <w:b/>
                <w:bCs/>
                <w:color w:val="B04A16"/>
                <w:sz w:val="15"/>
                <w:szCs w:val="15"/>
              </w:rPr>
              <w:t xml:space="preserve">[Pflicht]</w:t>
            </w:r>
            <w:r>
              <w:rPr>
                <w:b w:val="false"/>
                <w:bCs w:val="false"/>
                <w:sz w:val="17"/>
                <w:szCs w:val="17"/>
              </w:rPr>
              <w:t xml:space="preserve"> (bedingt)</w:t>
            </w:r>
          </w:p>
        </w:tc>
      </w:tr>
    </w:tbl>
    <w:p>
      <w:pPr>
        <w:spacing w:after="120"/>
      </w:pPr>
    </w:p>
    <w:p>
      <w:pPr>
        <w:spacing w:after="120" w:before="0" w:line="276"/>
      </w:pPr>
      <w:r>
        <w:rPr>
          <w:b/>
          <w:bCs/>
        </w:rPr>
        <w:t xml:space="preserve">Wiederverwendung:</w:t>
      </w:r>
      <w:r>
        <w:t xml:space="preserve"> Methode, Skalen, Berichtsweg und Risikokultur bestehen bereits. Neu ist nur ein Risikoobjekt mit eigenen Treibern. Ein RMS nach ISO 31000 verlangt ohnehin, dass Risikomanagement in bestehende Prozesse integriert ist </w:t>
      </w:r>
      <w:r>
        <w:rPr>
          <w:color w:val="5E6B78"/>
          <w:sz w:val="18"/>
          <w:szCs w:val="18"/>
        </w:rPr>
        <w:t xml:space="preserve">[S5]</w:t>
      </w:r>
      <w:r>
        <w:t xml:space="preserve">; das spricht gegen ein separates EmpCo-Risikoregister.</w:t>
      </w:r>
    </w:p>
    <w:p>
      <w:pPr>
        <w:pStyle w:val="Heading2"/>
        <w:keepNext/>
      </w:pPr>
      <w:r>
        <w:t xml:space="preserve">6.5 Beispiel: Umweltclaim auf der Website (RMS-Sicht)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120"/>
        <w:gridCol w:w="7518"/>
      </w:tblGrid>
      <w:tr>
        <w:trPr>
          <w:cantSplit/>
          <w:tblHeader/>
        </w:trPr>
        <w:tc>
          <w:tcPr>
            <w:tcW w:type="dxa" w:w="2120"/>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Merkmal</w:t>
            </w:r>
          </w:p>
        </w:tc>
        <w:tc>
          <w:tcPr>
            <w:tcW w:type="dxa" w:w="7518"/>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Ausprägung</w:t>
            </w:r>
          </w:p>
        </w:tc>
      </w:tr>
      <w:tr>
        <w:trPr>
          <w:cantSplit/>
        </w:trPr>
        <w:tc>
          <w:tcPr>
            <w:tcW w:type="dxa" w:w="2120"/>
            <w:tcMar>
              <w:top w:type="dxa" w:w="50"/>
              <w:left w:type="dxa" w:w="90"/>
              <w:bottom w:type="dxa" w:w="50"/>
              <w:right w:type="dxa" w:w="90"/>
            </w:tcMar>
            <w:vAlign w:val="top"/>
          </w:tcPr>
          <w:p>
            <w:pPr>
              <w:spacing w:after="30" w:before="0" w:line="252"/>
            </w:pPr>
            <w:r>
              <w:rPr>
                <w:b/>
                <w:bCs/>
                <w:sz w:val="18"/>
                <w:szCs w:val="18"/>
              </w:rPr>
              <w:t xml:space="preserve">Risiko</w:t>
            </w:r>
          </w:p>
        </w:tc>
        <w:tc>
          <w:tcPr>
            <w:tcW w:type="dxa" w:w="7518"/>
            <w:tcMar>
              <w:top w:type="dxa" w:w="50"/>
              <w:left w:type="dxa" w:w="90"/>
              <w:bottom w:type="dxa" w:w="50"/>
              <w:right w:type="dxa" w:w="90"/>
            </w:tcMar>
            <w:vAlign w:val="top"/>
          </w:tcPr>
          <w:p>
            <w:pPr>
              <w:spacing w:after="30" w:before="0" w:line="252"/>
            </w:pPr>
            <w:r>
              <w:rPr>
                <w:b w:val="false"/>
                <w:bCs w:val="false"/>
                <w:sz w:val="18"/>
                <w:szCs w:val="18"/>
              </w:rPr>
              <w:t xml:space="preserve">Unzulässige allgemeine Umwelt­aussage bzw. nicht belegbare Recyclingquote auf der Website.</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8"/>
                <w:szCs w:val="18"/>
              </w:rPr>
              <w:t xml:space="preserve">Ursachen</w:t>
            </w:r>
          </w:p>
        </w:tc>
        <w:tc>
          <w:tcPr>
            <w:tcW w:type="dxa" w:w="7518"/>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Kein Freigabeschritt; Text ungeprüft von der Agentur übernommen; Lieferanten­zertifikat veraltet.</w:t>
            </w:r>
          </w:p>
        </w:tc>
      </w:tr>
      <w:tr>
        <w:trPr>
          <w:cantSplit/>
        </w:trPr>
        <w:tc>
          <w:tcPr>
            <w:tcW w:type="dxa" w:w="2120"/>
            <w:tcMar>
              <w:top w:type="dxa" w:w="50"/>
              <w:left w:type="dxa" w:w="90"/>
              <w:bottom w:type="dxa" w:w="50"/>
              <w:right w:type="dxa" w:w="90"/>
            </w:tcMar>
            <w:vAlign w:val="top"/>
          </w:tcPr>
          <w:p>
            <w:pPr>
              <w:spacing w:after="30" w:before="0" w:line="252"/>
            </w:pPr>
            <w:r>
              <w:rPr>
                <w:b/>
                <w:bCs/>
                <w:sz w:val="18"/>
                <w:szCs w:val="18"/>
              </w:rPr>
              <w:t xml:space="preserve">Auswirkungen</w:t>
            </w:r>
          </w:p>
        </w:tc>
        <w:tc>
          <w:tcPr>
            <w:tcW w:type="dxa" w:w="7518"/>
            <w:tcMar>
              <w:top w:type="dxa" w:w="50"/>
              <w:left w:type="dxa" w:w="90"/>
              <w:bottom w:type="dxa" w:w="50"/>
              <w:right w:type="dxa" w:w="90"/>
            </w:tcMar>
            <w:vAlign w:val="top"/>
          </w:tcPr>
          <w:p>
            <w:pPr>
              <w:spacing w:after="30" w:before="0" w:line="252"/>
            </w:pPr>
            <w:r>
              <w:rPr>
                <w:b w:val="false"/>
                <w:bCs w:val="false"/>
                <w:sz w:val="18"/>
                <w:szCs w:val="18"/>
              </w:rPr>
              <w:t xml:space="preserve">Abmahnkosten; Unterlassungs­erklärung mit Vertragsstrafe bei Wiederholung, typisch 5.000 € und mehr </w:t>
            </w:r>
            <w:r>
              <w:rPr>
                <w:b w:val="false"/>
                <w:bCs w:val="false"/>
                <w:color w:val="5E6B78"/>
                <w:sz w:val="15"/>
                <w:szCs w:val="15"/>
              </w:rPr>
              <w:t xml:space="preserve">[L10]</w:t>
            </w:r>
            <w:r>
              <w:rPr>
                <w:b w:val="false"/>
                <w:bCs w:val="false"/>
                <w:sz w:val="18"/>
                <w:szCs w:val="18"/>
              </w:rPr>
              <w:t xml:space="preserve">; Aufwand für die Bereinigung aller Kanäle; Reputationsschaden bei öffentlichem Verfahren.</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8"/>
                <w:szCs w:val="18"/>
              </w:rPr>
              <w:t xml:space="preserve">Eintrittswahrscheinlichkeit</w:t>
            </w:r>
          </w:p>
        </w:tc>
        <w:tc>
          <w:tcPr>
            <w:tcW w:type="dxa" w:w="7518"/>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Hoch: Websites sind leicht auffindbar und automatisiert durchsuchbar; Per-se-Verbot ohne Relevanzschwelle; Websites fallen nicht unter § 15b UWG (RB Kap. 1.3.3) </w:t>
            </w:r>
            <w:r>
              <w:rPr>
                <w:b w:val="false"/>
                <w:bCs w:val="false"/>
                <w:color w:val="5E6B78"/>
                <w:sz w:val="15"/>
                <w:szCs w:val="15"/>
              </w:rPr>
              <w:t xml:space="preserve">[I1]</w:t>
            </w:r>
            <w:r>
              <w:rPr>
                <w:b w:val="false"/>
                <w:bCs w:val="false"/>
                <w:sz w:val="18"/>
                <w:szCs w:val="18"/>
              </w:rPr>
              <w:t xml:space="preserve">.</w:t>
            </w:r>
          </w:p>
        </w:tc>
      </w:tr>
      <w:tr>
        <w:trPr>
          <w:cantSplit/>
        </w:trPr>
        <w:tc>
          <w:tcPr>
            <w:tcW w:type="dxa" w:w="2120"/>
            <w:tcMar>
              <w:top w:type="dxa" w:w="50"/>
              <w:left w:type="dxa" w:w="90"/>
              <w:bottom w:type="dxa" w:w="50"/>
              <w:right w:type="dxa" w:w="90"/>
            </w:tcMar>
            <w:vAlign w:val="top"/>
          </w:tcPr>
          <w:p>
            <w:pPr>
              <w:spacing w:after="30" w:before="0" w:line="252"/>
            </w:pPr>
            <w:r>
              <w:rPr>
                <w:b/>
                <w:bCs/>
                <w:sz w:val="18"/>
                <w:szCs w:val="18"/>
              </w:rPr>
              <w:t xml:space="preserve">Behandlung</w:t>
            </w:r>
          </w:p>
        </w:tc>
        <w:tc>
          <w:tcPr>
            <w:tcW w:type="dxa" w:w="7518"/>
            <w:tcMar>
              <w:top w:type="dxa" w:w="50"/>
              <w:left w:type="dxa" w:w="90"/>
              <w:bottom w:type="dxa" w:w="50"/>
              <w:right w:type="dxa" w:w="90"/>
            </w:tcMar>
            <w:vAlign w:val="top"/>
          </w:tcPr>
          <w:p>
            <w:pPr>
              <w:spacing w:after="30" w:before="0" w:line="252"/>
            </w:pPr>
            <w:r>
              <w:rPr>
                <w:b w:val="false"/>
                <w:bCs w:val="false"/>
                <w:sz w:val="18"/>
                <w:szCs w:val="18"/>
              </w:rPr>
              <w:t xml:space="preserve">Vermeiden (allgemeinen Begriff streichen), vermindern (Freigabe-Gate, Evidenz­prüfung), überwachen (Kanal-Scan, Frühwarn­indikator).</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8"/>
                <w:szCs w:val="18"/>
              </w:rPr>
              <w:t xml:space="preserve">Restrisiko</w:t>
            </w:r>
          </w:p>
        </w:tc>
        <w:tc>
          <w:tcPr>
            <w:tcW w:type="dxa" w:w="7518"/>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Niedrig bei spezifischer, belegter Aussage mit gültigem Zertifikat und Registereintrag.</w:t>
            </w:r>
          </w:p>
        </w:tc>
      </w:tr>
    </w:tbl>
    <w:p>
      <w:pPr>
        <w:spacing w:after="120"/>
      </w:pPr>
    </w:p>
    <w:p>
      <w:pPr>
        <w:pStyle w:val="Heading2"/>
        <w:keepNext/>
      </w:pPr>
      <w:r>
        <w:t xml:space="preserve">6.6 Abgrenzung</w:t>
      </w:r>
    </w:p>
    <w:p>
      <w:pPr>
        <w:spacing w:after="120" w:before="0" w:line="276"/>
      </w:pPr>
      <w:r>
        <w:t xml:space="preserve">Das RMS bewertet und aggregiert. Es entscheidet über Risikoappetit und Behandlungsstrategie und berichtet an die Geschäftsleitung. Es legt nicht fest, welche Aussage rechtlich zulässig ist (CMS mit Legal), und prüft nicht, ob eine einzelne Kontrolle funktioniert hat (IKS). Ein RMS, das jeden einzelnen Claim als eigenes Risiko führt, verfehlt seine Aggregationsfunktion: </w:t>
      </w:r>
      <w:r>
        <w:rPr>
          <w:b/>
          <w:bCs/>
        </w:rPr>
        <w:t xml:space="preserve">Einzelclaims gehören ins Register, nicht ins Risikoinventar.</w:t>
      </w:r>
    </w:p>
    <w:p>
      <w:pPr>
        <w:pStyle w:val="Heading2"/>
        <w:keepNext/>
      </w:pPr>
      <w:r>
        <w:t xml:space="preserve">6.7 Schnittstellen</w:t>
      </w:r>
    </w:p>
    <w:p>
      <w:pPr>
        <w:pStyle w:val="ListParagraph"/>
        <w:numPr>
          <w:ilvl w:val="0"/>
          <w:numId w:val="2"/>
        </w:numPr>
        <w:spacing w:after="60" w:before="0" w:line="276"/>
      </w:pPr>
      <w:r>
        <w:rPr>
          <w:b/>
          <w:bCs/>
        </w:rPr>
        <w:t xml:space="preserve">CMS:</w:t>
      </w:r>
      <w:r>
        <w:t xml:space="preserve"> Compliance-Risikoanalyse als Input; Risikoappetit als Vorgabe für die Claims-Richtlinie.</w:t>
      </w:r>
    </w:p>
    <w:p>
      <w:pPr>
        <w:pStyle w:val="ListParagraph"/>
        <w:numPr>
          <w:ilvl w:val="0"/>
          <w:numId w:val="2"/>
        </w:numPr>
        <w:spacing w:after="60" w:before="0" w:line="276"/>
      </w:pPr>
      <w:r>
        <w:rPr>
          <w:b/>
          <w:bCs/>
        </w:rPr>
        <w:t xml:space="preserve">IKS:</w:t>
      </w:r>
      <w:r>
        <w:t xml:space="preserve"> Frühwarnindikatoren speisen sich aus Register und Kontrollergebnissen, etwa abgelaufene Evidenz.</w:t>
      </w:r>
    </w:p>
    <w:p>
      <w:pPr>
        <w:pStyle w:val="ListParagraph"/>
        <w:numPr>
          <w:ilvl w:val="0"/>
          <w:numId w:val="2"/>
        </w:numPr>
        <w:spacing w:after="60" w:before="0" w:line="276"/>
      </w:pPr>
      <w:r>
        <w:rPr>
          <w:b/>
          <w:bCs/>
        </w:rPr>
        <w:t xml:space="preserve">Controlling und Planung:</w:t>
      </w:r>
      <w:r>
        <w:t xml:space="preserve"> Kosten für Altbestände, Neudruck und externe Prüfung von Zukunftsaussagen.</w:t>
      </w:r>
    </w:p>
    <w:p>
      <w:pPr>
        <w:pStyle w:val="ListParagraph"/>
        <w:numPr>
          <w:ilvl w:val="0"/>
          <w:numId w:val="2"/>
        </w:numPr>
        <w:spacing w:after="60" w:before="0" w:line="276"/>
      </w:pPr>
      <w:r>
        <w:rPr>
          <w:b/>
          <w:bCs/>
        </w:rPr>
        <w:t xml:space="preserve">Sustainability und Strategie:</w:t>
      </w:r>
      <w:r>
        <w:t xml:space="preserve"> Transitionsplan, Ziele, Positionierung.</w:t>
      </w:r>
    </w:p>
    <w:p>
      <w:pPr>
        <w:pStyle w:val="ListParagraph"/>
        <w:numPr>
          <w:ilvl w:val="0"/>
          <w:numId w:val="2"/>
        </w:numPr>
        <w:spacing w:after="60" w:before="0" w:line="276"/>
      </w:pPr>
      <w:r>
        <w:rPr>
          <w:b/>
          <w:bCs/>
        </w:rPr>
        <w:t xml:space="preserve">Einkauf:</w:t>
      </w:r>
      <w:r>
        <w:t xml:space="preserve"> Lieferantenrisiken mit Nachweisbezug.</w:t>
      </w:r>
    </w:p>
    <w:p>
      <w:pPr>
        <w:pStyle w:val="ListParagraph"/>
        <w:numPr>
          <w:ilvl w:val="0"/>
          <w:numId w:val="2"/>
        </w:numPr>
        <w:spacing w:after="60" w:before="0" w:line="276"/>
      </w:pPr>
      <w:r>
        <w:rPr>
          <w:b/>
          <w:bCs/>
        </w:rPr>
        <w:t xml:space="preserve">Kommunikation und PR:</w:t>
      </w:r>
      <w:r>
        <w:t xml:space="preserve"> Reputationsszenarien und Krisenkommunikation.</w:t>
      </w:r>
    </w:p>
    <w:p>
      <w:pPr>
        <w:spacing w:after="40"/>
      </w:pPr>
    </w:p>
    <w:p>
      <w:pPr>
        <w:pStyle w:val="Heading1"/>
        <w:keepNext/>
        <w:pageBreakBefore/>
      </w:pPr>
      <w:r>
        <w:t xml:space="preserve">7 Internes Kontrollsystem (IKS)</w:t>
      </w:r>
    </w:p>
    <w:p>
      <w:pPr>
        <w:pStyle w:val="Heading2"/>
        <w:keepNext/>
      </w:pPr>
      <w:r>
        <w:t xml:space="preserve">7.1 Bisherige Funktion</w:t>
      </w:r>
    </w:p>
    <w:p>
      <w:pPr>
        <w:spacing w:after="120" w:before="0" w:line="276"/>
      </w:pPr>
      <w:r>
        <w:t xml:space="preserve">Das IKS umfasst die von der Unternehmensleitung eingeführten Grundsätze, Verfahren und Maßnahmen, die die Wirksamkeit und Wirtschaftlichkeit der Geschäftstätigkeit, die Verlässlichkeit der Berichterstattung und die Einhaltung der maßgeblichen Rechtsvorschriften sichern. COSO Internal Control (2013) ordnet dies fünf Komponenten zu: Kontrollumfeld, Risikobeurteilung, Kontrollaktivitäten, Information und Kommunikation, Überwachung </w:t>
      </w:r>
      <w:r>
        <w:rPr>
          <w:color w:val="5E6B78"/>
          <w:sz w:val="18"/>
          <w:szCs w:val="18"/>
        </w:rPr>
        <w:t xml:space="preserve">[S7]</w:t>
      </w:r>
      <w:r>
        <w:t xml:space="preserve">. IDW PS 982 regelt die Prüfung des IKS für das interne und externe Berichtswesen </w:t>
      </w:r>
      <w:r>
        <w:rPr>
          <w:color w:val="5E6B78"/>
          <w:sz w:val="18"/>
          <w:szCs w:val="18"/>
        </w:rPr>
        <w:t xml:space="preserve">[S3]</w:t>
      </w:r>
      <w:r>
        <w:t xml:space="preserve">.</w:t>
      </w:r>
    </w:p>
    <w:p>
      <w:pPr>
        <w:spacing w:after="120" w:before="0" w:line="276"/>
      </w:pPr>
      <w:r>
        <w:t xml:space="preserve">In der Praxis ist das IKS stark auf die Finanzberichterstattung ausgerichtet und wird zunehmend auf die Nachhaltigkeitsberichterstattung ausgeweitet (COSO ICSR 2023) </w:t>
      </w:r>
      <w:r>
        <w:rPr>
          <w:color w:val="5E6B78"/>
          <w:sz w:val="18"/>
          <w:szCs w:val="18"/>
        </w:rPr>
        <w:t xml:space="preserve">[S8]</w:t>
      </w:r>
      <w:r>
        <w:t xml:space="preserve">. Marketing- und Kommunikationsprozesse sind nach unserer Beobachtung selten Gegenstand der Risiko-Kontroll-Matrix. Praxisveröffentlichungen sehen im Ausbau des IKS einen Hebel gegen Greenwashing-Risiken </w:t>
      </w:r>
      <w:r>
        <w:rPr>
          <w:color w:val="5E6B78"/>
          <w:sz w:val="18"/>
          <w:szCs w:val="18"/>
        </w:rPr>
        <w:t xml:space="preserve">[L4]</w:t>
      </w:r>
      <w:r>
        <w:t xml:space="preserve">.</w:t>
      </w:r>
    </w:p>
    <w:p>
      <w:pPr>
        <w:pStyle w:val="Heading2"/>
        <w:keepNext/>
      </w:pPr>
      <w:r>
        <w:t xml:space="preserve">7.2 Neue Anforderungen durch EmpCo aus IKS-Sicht</w:t>
      </w:r>
    </w:p>
    <w:p>
      <w:pPr>
        <w:spacing w:after="120" w:before="0" w:line="276"/>
      </w:pPr>
      <w:r>
        <w:t xml:space="preserve">EmpCo schreibt keine Kontrollen vor. Die Verbote und Informationspflichten lassen sich aber direkt als </w:t>
      </w:r>
      <w:r>
        <w:rPr>
          <w:b/>
          <w:bCs/>
        </w:rPr>
        <w:t xml:space="preserve">Kontrollziele</w:t>
      </w:r>
      <w:r>
        <w:t xml:space="preserve"> formulieren. Die Ziele leiten sich aus </w:t>
      </w:r>
      <w:r>
        <w:rPr>
          <w:b/>
          <w:bCs/>
          <w:color w:val="B04A16"/>
          <w:sz w:val="19"/>
          <w:szCs w:val="19"/>
        </w:rPr>
        <w:t xml:space="preserve">[Pflicht]</w:t>
      </w:r>
      <w:r>
        <w:t xml:space="preserve"> ab; die Kontrollen selbst sind </w:t>
      </w:r>
      <w:r>
        <w:rPr>
          <w:b/>
          <w:bCs/>
          <w:color w:val="1F6F63"/>
          <w:sz w:val="19"/>
          <w:szCs w:val="19"/>
        </w:rPr>
        <w:t xml:space="preserve">[Organisation]</w:t>
      </w:r>
      <w:r>
        <w:t xml:space="preserve">. Grundlage sind die Kontrollziele aus RB Kap. 8.1, ergänzt um die Pflichtinformationen (KZ9) </w:t>
      </w:r>
      <w:r>
        <w:rPr>
          <w:color w:val="5E6B78"/>
          <w:sz w:val="18"/>
          <w:szCs w:val="18"/>
        </w:rPr>
        <w:t xml:space="preserve">[I1]</w:t>
      </w:r>
      <w:r>
        <w:t xml:space="preserve">.</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313"/>
        <w:gridCol w:w="5397"/>
        <w:gridCol w:w="1928"/>
      </w:tblGrid>
      <w:tr>
        <w:trPr>
          <w:cantSplit/>
          <w:tblHeader/>
        </w:trPr>
        <w:tc>
          <w:tcPr>
            <w:tcW w:type="dxa" w:w="231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Kontrollziel</w:t>
            </w:r>
          </w:p>
        </w:tc>
        <w:tc>
          <w:tcPr>
            <w:tcW w:type="dxa" w:w="5397"/>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Leitfrage</w:t>
            </w:r>
          </w:p>
        </w:tc>
        <w:tc>
          <w:tcPr>
            <w:tcW w:type="dxa" w:w="192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Bezug</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KZ1 Vollständigkeit</w:t>
            </w:r>
          </w:p>
        </w:tc>
        <w:tc>
          <w:tcPr>
            <w:tcW w:type="dxa" w:w="5397"/>
            <w:tcMar>
              <w:top w:type="dxa" w:w="50"/>
              <w:left w:type="dxa" w:w="90"/>
              <w:bottom w:type="dxa" w:w="50"/>
              <w:right w:type="dxa" w:w="90"/>
            </w:tcMar>
            <w:vAlign w:val="top"/>
          </w:tcPr>
          <w:p>
            <w:pPr>
              <w:spacing w:after="30" w:before="0" w:line="252"/>
            </w:pPr>
            <w:r>
              <w:rPr>
                <w:b w:val="false"/>
                <w:bCs w:val="false"/>
                <w:sz w:val="17"/>
                <w:szCs w:val="17"/>
              </w:rPr>
              <w:t xml:space="preserve">Sind alle Claims in allen Kanälen und bei allen Urhebern erfasst?</w:t>
            </w:r>
          </w:p>
        </w:tc>
        <w:tc>
          <w:tcPr>
            <w:tcW w:type="dxa" w:w="1928"/>
            <w:tcMar>
              <w:top w:type="dxa" w:w="50"/>
              <w:left w:type="dxa" w:w="90"/>
              <w:bottom w:type="dxa" w:w="50"/>
              <w:right w:type="dxa" w:w="90"/>
            </w:tcMar>
            <w:vAlign w:val="top"/>
          </w:tcPr>
          <w:p>
            <w:pPr>
              <w:spacing w:after="30" w:before="0" w:line="252"/>
            </w:pPr>
            <w:r>
              <w:rPr>
                <w:b w:val="false"/>
                <w:bCs w:val="false"/>
                <w:sz w:val="17"/>
                <w:szCs w:val="17"/>
              </w:rPr>
              <w:t xml:space="preserve">A1–A14; schon eine einzelne Aussage genügt für einen Verstoß</w:t>
            </w:r>
          </w:p>
        </w:tc>
      </w:tr>
      <w:tr>
        <w:trPr>
          <w:cantSplit/>
        </w:trPr>
        <w:tc>
          <w:tcPr>
            <w:tcW w:type="dxa" w:w="2313"/>
            <w:shd w:fill="F3F5F7" w:color="auto" w:val="clear"/>
            <w:tcMar>
              <w:top w:type="dxa" w:w="50"/>
              <w:left w:type="dxa" w:w="90"/>
              <w:bottom w:type="dxa" w:w="50"/>
              <w:right w:type="dxa" w:w="90"/>
            </w:tcMar>
            <w:vAlign w:val="top"/>
          </w:tcPr>
          <w:p>
            <w:pPr>
              <w:spacing w:after="30" w:before="0" w:line="252"/>
            </w:pPr>
            <w:r>
              <w:rPr>
                <w:b/>
                <w:bCs/>
                <w:sz w:val="17"/>
                <w:szCs w:val="17"/>
              </w:rPr>
              <w:t xml:space="preserve">KZ2 Zulässigkeit</w:t>
            </w:r>
          </w:p>
        </w:tc>
        <w:tc>
          <w:tcPr>
            <w:tcW w:type="dxa" w:w="5397"/>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Berührt ein Claim ein Per-se-Verbot?</w:t>
            </w:r>
          </w:p>
        </w:tc>
        <w:tc>
          <w:tcPr>
            <w:tcW w:type="dxa" w:w="192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A2–A5, A8, A10</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KZ3 Tatsächlichkeit und Richtigkeit</w:t>
            </w:r>
          </w:p>
        </w:tc>
        <w:tc>
          <w:tcPr>
            <w:tcW w:type="dxa" w:w="5397"/>
            <w:tcMar>
              <w:top w:type="dxa" w:w="50"/>
              <w:left w:type="dxa" w:w="90"/>
              <w:bottom w:type="dxa" w:w="50"/>
              <w:right w:type="dxa" w:w="90"/>
            </w:tcMar>
            <w:vAlign w:val="top"/>
          </w:tcPr>
          <w:p>
            <w:pPr>
              <w:spacing w:after="30" w:before="0" w:line="252"/>
            </w:pPr>
            <w:r>
              <w:rPr>
                <w:b w:val="false"/>
                <w:bCs w:val="false"/>
                <w:sz w:val="17"/>
                <w:szCs w:val="17"/>
              </w:rPr>
              <w:t xml:space="preserve">Ist der Claim vor Veröffentlichung belegt und die Methode begründet?</w:t>
            </w:r>
          </w:p>
        </w:tc>
        <w:tc>
          <w:tcPr>
            <w:tcW w:type="dxa" w:w="1928"/>
            <w:tcMar>
              <w:top w:type="dxa" w:w="50"/>
              <w:left w:type="dxa" w:w="90"/>
              <w:bottom w:type="dxa" w:w="50"/>
              <w:right w:type="dxa" w:w="90"/>
            </w:tcMar>
            <w:vAlign w:val="top"/>
          </w:tcPr>
          <w:p>
            <w:pPr>
              <w:spacing w:after="30" w:before="0" w:line="252"/>
            </w:pPr>
            <w:r>
              <w:rPr>
                <w:b w:val="false"/>
                <w:bCs w:val="false"/>
                <w:sz w:val="17"/>
                <w:szCs w:val="17"/>
              </w:rPr>
              <w:t xml:space="preserve">A1, A12</w:t>
            </w:r>
          </w:p>
        </w:tc>
      </w:tr>
      <w:tr>
        <w:trPr>
          <w:cantSplit/>
        </w:trPr>
        <w:tc>
          <w:tcPr>
            <w:tcW w:type="dxa" w:w="2313"/>
            <w:shd w:fill="F3F5F7" w:color="auto" w:val="clear"/>
            <w:tcMar>
              <w:top w:type="dxa" w:w="50"/>
              <w:left w:type="dxa" w:w="90"/>
              <w:bottom w:type="dxa" w:w="50"/>
              <w:right w:type="dxa" w:w="90"/>
            </w:tcMar>
            <w:vAlign w:val="top"/>
          </w:tcPr>
          <w:p>
            <w:pPr>
              <w:spacing w:after="30" w:before="0" w:line="252"/>
            </w:pPr>
            <w:r>
              <w:rPr>
                <w:b/>
                <w:bCs/>
                <w:sz w:val="17"/>
                <w:szCs w:val="17"/>
              </w:rPr>
              <w:t xml:space="preserve">KZ4 Darstellung</w:t>
            </w:r>
          </w:p>
        </w:tc>
        <w:tc>
          <w:tcPr>
            <w:tcW w:type="dxa" w:w="5397"/>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Steht die Spezifizierung im selben Medium, ist Teil/Ganzes korrekt, fehlen keine wesentlichen Informationen?</w:t>
            </w:r>
          </w:p>
        </w:tc>
        <w:tc>
          <w:tcPr>
            <w:tcW w:type="dxa" w:w="192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A2, A4, A9</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KZ5 Gültigkeit</w:t>
            </w:r>
          </w:p>
        </w:tc>
        <w:tc>
          <w:tcPr>
            <w:tcW w:type="dxa" w:w="5397"/>
            <w:tcMar>
              <w:top w:type="dxa" w:w="50"/>
              <w:left w:type="dxa" w:w="90"/>
              <w:bottom w:type="dxa" w:w="50"/>
              <w:right w:type="dxa" w:w="90"/>
            </w:tcMar>
            <w:vAlign w:val="top"/>
          </w:tcPr>
          <w:p>
            <w:pPr>
              <w:spacing w:after="30" w:before="0" w:line="252"/>
            </w:pPr>
            <w:r>
              <w:rPr>
                <w:b w:val="false"/>
                <w:bCs w:val="false"/>
                <w:sz w:val="17"/>
                <w:szCs w:val="17"/>
              </w:rPr>
              <w:t xml:space="preserve">Gelten Evidenz und Nutzungs­rechte für den gesamten Nutzungszeitraum?</w:t>
            </w:r>
          </w:p>
        </w:tc>
        <w:tc>
          <w:tcPr>
            <w:tcW w:type="dxa" w:w="1928"/>
            <w:tcMar>
              <w:top w:type="dxa" w:w="50"/>
              <w:left w:type="dxa" w:w="90"/>
              <w:bottom w:type="dxa" w:w="50"/>
              <w:right w:type="dxa" w:w="90"/>
            </w:tcMar>
            <w:vAlign w:val="top"/>
          </w:tcPr>
          <w:p>
            <w:pPr>
              <w:spacing w:after="30" w:before="0" w:line="252"/>
            </w:pPr>
            <w:r>
              <w:rPr>
                <w:b w:val="false"/>
                <w:bCs w:val="false"/>
                <w:sz w:val="17"/>
                <w:szCs w:val="17"/>
              </w:rPr>
              <w:t xml:space="preserve">A3, A12</w:t>
            </w:r>
          </w:p>
        </w:tc>
      </w:tr>
      <w:tr>
        <w:trPr>
          <w:cantSplit/>
        </w:trPr>
        <w:tc>
          <w:tcPr>
            <w:tcW w:type="dxa" w:w="2313"/>
            <w:shd w:fill="F3F5F7" w:color="auto" w:val="clear"/>
            <w:tcMar>
              <w:top w:type="dxa" w:w="50"/>
              <w:left w:type="dxa" w:w="90"/>
              <w:bottom w:type="dxa" w:w="50"/>
              <w:right w:type="dxa" w:w="90"/>
            </w:tcMar>
            <w:vAlign w:val="top"/>
          </w:tcPr>
          <w:p>
            <w:pPr>
              <w:spacing w:after="30" w:before="0" w:line="252"/>
            </w:pPr>
            <w:r>
              <w:rPr>
                <w:b/>
                <w:bCs/>
                <w:sz w:val="17"/>
                <w:szCs w:val="17"/>
              </w:rPr>
              <w:t xml:space="preserve">KZ6 Autorisierung</w:t>
            </w:r>
          </w:p>
        </w:tc>
        <w:tc>
          <w:tcPr>
            <w:tcW w:type="dxa" w:w="5397"/>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Hat die zuständige Instanz freigegeben, ohne Selbst­freigabe?</w:t>
            </w:r>
          </w:p>
        </w:tc>
        <w:tc>
          <w:tcPr>
            <w:tcW w:type="dxa" w:w="192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Organisation; A13</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KZ7 Nachvollziehbarkeit</w:t>
            </w:r>
          </w:p>
        </w:tc>
        <w:tc>
          <w:tcPr>
            <w:tcW w:type="dxa" w:w="5397"/>
            <w:tcMar>
              <w:top w:type="dxa" w:w="50"/>
              <w:left w:type="dxa" w:w="90"/>
              <w:bottom w:type="dxa" w:w="50"/>
              <w:right w:type="dxa" w:w="90"/>
            </w:tcMar>
            <w:vAlign w:val="top"/>
          </w:tcPr>
          <w:p>
            <w:pPr>
              <w:spacing w:after="30" w:before="0" w:line="252"/>
            </w:pPr>
            <w:r>
              <w:rPr>
                <w:b w:val="false"/>
                <w:bCs w:val="false"/>
                <w:sz w:val="17"/>
                <w:szCs w:val="17"/>
              </w:rPr>
              <w:t xml:space="preserve">Sind Audit Trail und Dossier vollständig und schnell abrufbar?</w:t>
            </w:r>
          </w:p>
        </w:tc>
        <w:tc>
          <w:tcPr>
            <w:tcW w:type="dxa" w:w="1928"/>
            <w:tcMar>
              <w:top w:type="dxa" w:w="50"/>
              <w:left w:type="dxa" w:w="90"/>
              <w:bottom w:type="dxa" w:w="50"/>
              <w:right w:type="dxa" w:w="90"/>
            </w:tcMar>
            <w:vAlign w:val="top"/>
          </w:tcPr>
          <w:p>
            <w:pPr>
              <w:spacing w:after="30" w:before="0" w:line="252"/>
            </w:pPr>
            <w:r>
              <w:rPr>
                <w:b w:val="false"/>
                <w:bCs w:val="false"/>
                <w:sz w:val="17"/>
                <w:szCs w:val="17"/>
              </w:rPr>
              <w:t xml:space="preserve">A12</w:t>
            </w:r>
          </w:p>
        </w:tc>
      </w:tr>
      <w:tr>
        <w:trPr>
          <w:cantSplit/>
        </w:trPr>
        <w:tc>
          <w:tcPr>
            <w:tcW w:type="dxa" w:w="2313"/>
            <w:shd w:fill="F3F5F7" w:color="auto" w:val="clear"/>
            <w:tcMar>
              <w:top w:type="dxa" w:w="50"/>
              <w:left w:type="dxa" w:w="90"/>
              <w:bottom w:type="dxa" w:w="50"/>
              <w:right w:type="dxa" w:w="90"/>
            </w:tcMar>
            <w:vAlign w:val="top"/>
          </w:tcPr>
          <w:p>
            <w:pPr>
              <w:spacing w:after="30" w:before="0" w:line="252"/>
            </w:pPr>
            <w:r>
              <w:rPr>
                <w:b/>
                <w:bCs/>
                <w:sz w:val="17"/>
                <w:szCs w:val="17"/>
              </w:rPr>
              <w:t xml:space="preserve">KZ8 Reaktions­fähigkeit</w:t>
            </w:r>
          </w:p>
        </w:tc>
        <w:tc>
          <w:tcPr>
            <w:tcW w:type="dxa" w:w="5397"/>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Führen Trigger und Beanstandungen zeitnah zu Re-Validierung, Anpassung oder Rücknahme?</w:t>
            </w:r>
          </w:p>
        </w:tc>
        <w:tc>
          <w:tcPr>
            <w:tcW w:type="dxa" w:w="192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A12–A14</w:t>
            </w:r>
          </w:p>
        </w:tc>
      </w:tr>
      <w:tr>
        <w:trPr>
          <w:cantSplit/>
        </w:trPr>
        <w:tc>
          <w:tcPr>
            <w:tcW w:type="dxa" w:w="2313"/>
            <w:tcMar>
              <w:top w:type="dxa" w:w="50"/>
              <w:left w:type="dxa" w:w="90"/>
              <w:bottom w:type="dxa" w:w="50"/>
              <w:right w:type="dxa" w:w="90"/>
            </w:tcMar>
            <w:vAlign w:val="top"/>
          </w:tcPr>
          <w:p>
            <w:pPr>
              <w:spacing w:after="30" w:before="0" w:line="252"/>
            </w:pPr>
            <w:r>
              <w:rPr>
                <w:b/>
                <w:bCs/>
                <w:sz w:val="17"/>
                <w:szCs w:val="17"/>
              </w:rPr>
              <w:t xml:space="preserve">KZ9 Pflicht­informationen</w:t>
            </w:r>
          </w:p>
        </w:tc>
        <w:tc>
          <w:tcPr>
            <w:tcW w:type="dxa" w:w="5397"/>
            <w:tcMar>
              <w:top w:type="dxa" w:w="50"/>
              <w:left w:type="dxa" w:w="90"/>
              <w:bottom w:type="dxa" w:w="50"/>
              <w:right w:type="dxa" w:w="90"/>
            </w:tcMar>
            <w:vAlign w:val="top"/>
          </w:tcPr>
          <w:p>
            <w:pPr>
              <w:spacing w:after="30" w:before="0" w:line="252"/>
            </w:pPr>
            <w:r>
              <w:rPr>
                <w:b w:val="false"/>
                <w:bCs w:val="false"/>
                <w:sz w:val="17"/>
                <w:szCs w:val="17"/>
              </w:rPr>
              <w:t xml:space="preserve">Sind die vorvertraglichen Pflicht­informationen in allen Verkaufskanälen vollständig und richtig?</w:t>
            </w:r>
          </w:p>
        </w:tc>
        <w:tc>
          <w:tcPr>
            <w:tcW w:type="dxa" w:w="1928"/>
            <w:tcMar>
              <w:top w:type="dxa" w:w="50"/>
              <w:left w:type="dxa" w:w="90"/>
              <w:bottom w:type="dxa" w:w="50"/>
              <w:right w:type="dxa" w:w="90"/>
            </w:tcMar>
            <w:vAlign w:val="top"/>
          </w:tcPr>
          <w:p>
            <w:pPr>
              <w:spacing w:after="30" w:before="0" w:line="252"/>
            </w:pPr>
            <w:r>
              <w:rPr>
                <w:b w:val="false"/>
                <w:bCs w:val="false"/>
                <w:sz w:val="17"/>
                <w:szCs w:val="17"/>
              </w:rPr>
              <w:t xml:space="preserve">A11</w:t>
            </w:r>
          </w:p>
        </w:tc>
      </w:tr>
    </w:tbl>
    <w:p>
      <w:pPr>
        <w:spacing w:after="120"/>
      </w:pPr>
    </w:p>
    <w:p>
      <w:pPr>
        <w:spacing w:after="120" w:before="0" w:line="276"/>
      </w:pPr>
      <w:r>
        <w:t xml:space="preserve">Die Claim-Assertions aus RB Kap. 4.4 liefern die Prüfschritte je Kontrolle: Tatsächlichkeit, Vollständigkeit, Richtigkeit und Methode, Gültigkeit, Nutzungsrecht, Verständlichkeit und Kontext sowie Zulässigkeit </w:t>
      </w:r>
      <w:r>
        <w:rPr>
          <w:color w:val="5E6B78"/>
          <w:sz w:val="18"/>
          <w:szCs w:val="18"/>
        </w:rPr>
        <w:t xml:space="preserve">[I1]</w:t>
      </w:r>
      <w:r>
        <w:t xml:space="preserve"> </w:t>
      </w:r>
      <w:r>
        <w:rPr>
          <w:b/>
          <w:bCs/>
          <w:color w:val="1F6F63"/>
          <w:sz w:val="19"/>
          <w:szCs w:val="19"/>
        </w:rPr>
        <w:t xml:space="preserve">[Organisation]</w:t>
      </w:r>
      <w:r>
        <w:t xml:space="preserve">.</w:t>
      </w:r>
    </w:p>
    <w:p>
      <w:pPr>
        <w:pStyle w:val="Heading2"/>
        <w:keepNext/>
      </w:pPr>
      <w:r>
        <w:t xml:space="preserve">7.3 Neu aufzunehmende Elemente: Prozess und Kontrollen K1–K12</w:t>
      </w:r>
    </w:p>
    <w:p>
      <w:pPr>
        <w:spacing w:after="120" w:before="0" w:line="276"/>
      </w:pPr>
      <w:r>
        <w:t xml:space="preserve">Neu ist ein IKS-Prozess „Kommunikation und Produktaussagen“ in der Risiko-Kontroll-Matrix. Die folgenden zwölf Kontrollen bilden den Kern. Sie verdichten die Claim-Matrix aus RB Kap. 8.2 (C01–C22) auf die Elemente, die im IKS dokumentiert und getestet werden sollten </w:t>
      </w:r>
      <w:r>
        <w:rPr>
          <w:color w:val="5E6B78"/>
          <w:sz w:val="18"/>
          <w:szCs w:val="18"/>
        </w:rPr>
        <w:t xml:space="preserve">[I1]</w:t>
      </w:r>
      <w:r>
        <w:t xml:space="preserve">.</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481"/>
        <w:gridCol w:w="2602"/>
        <w:gridCol w:w="1638"/>
        <w:gridCol w:w="1734"/>
        <w:gridCol w:w="1638"/>
        <w:gridCol w:w="1545"/>
      </w:tblGrid>
      <w:tr>
        <w:trPr>
          <w:cantSplit/>
          <w:tblHeader/>
        </w:trPr>
        <w:tc>
          <w:tcPr>
            <w:tcW w:type="dxa" w:w="481"/>
            <w:shd w:fill="13233A" w:color="auto" w:val="clear"/>
            <w:tcMar>
              <w:top w:type="dxa" w:w="50"/>
              <w:left w:type="dxa" w:w="90"/>
              <w:bottom w:type="dxa" w:w="50"/>
              <w:right w:type="dxa" w:w="90"/>
            </w:tcMar>
            <w:vAlign w:val="top"/>
          </w:tcPr>
          <w:p>
            <w:pPr>
              <w:spacing w:after="30" w:before="0" w:line="252"/>
            </w:pPr>
            <w:r>
              <w:rPr>
                <w:b/>
                <w:bCs/>
                <w:color w:val="FFFFFF"/>
                <w:sz w:val="16"/>
                <w:szCs w:val="16"/>
              </w:rPr>
              <w:t xml:space="preserve">ID</w:t>
            </w:r>
          </w:p>
        </w:tc>
        <w:tc>
          <w:tcPr>
            <w:tcW w:type="dxa" w:w="2602"/>
            <w:shd w:fill="13233A" w:color="auto" w:val="clear"/>
            <w:tcMar>
              <w:top w:type="dxa" w:w="50"/>
              <w:left w:type="dxa" w:w="90"/>
              <w:bottom w:type="dxa" w:w="50"/>
              <w:right w:type="dxa" w:w="90"/>
            </w:tcMar>
            <w:vAlign w:val="top"/>
          </w:tcPr>
          <w:p>
            <w:pPr>
              <w:spacing w:after="30" w:before="0" w:line="252"/>
            </w:pPr>
            <w:r>
              <w:rPr>
                <w:b/>
                <w:bCs/>
                <w:color w:val="FFFFFF"/>
                <w:sz w:val="16"/>
                <w:szCs w:val="16"/>
              </w:rPr>
              <w:t xml:space="preserve">Kontrolle</w:t>
            </w:r>
          </w:p>
        </w:tc>
        <w:tc>
          <w:tcPr>
            <w:tcW w:type="dxa" w:w="1638"/>
            <w:shd w:fill="13233A" w:color="auto" w:val="clear"/>
            <w:tcMar>
              <w:top w:type="dxa" w:w="50"/>
              <w:left w:type="dxa" w:w="90"/>
              <w:bottom w:type="dxa" w:w="50"/>
              <w:right w:type="dxa" w:w="90"/>
            </w:tcMar>
            <w:vAlign w:val="top"/>
          </w:tcPr>
          <w:p>
            <w:pPr>
              <w:spacing w:after="30" w:before="0" w:line="252"/>
            </w:pPr>
            <w:r>
              <w:rPr>
                <w:b/>
                <w:bCs/>
                <w:color w:val="FFFFFF"/>
                <w:sz w:val="16"/>
                <w:szCs w:val="16"/>
              </w:rPr>
              <w:t xml:space="preserve">Risiko (Anforderung)</w:t>
            </w:r>
          </w:p>
        </w:tc>
        <w:tc>
          <w:tcPr>
            <w:tcW w:type="dxa" w:w="1734"/>
            <w:shd w:fill="13233A" w:color="auto" w:val="clear"/>
            <w:tcMar>
              <w:top w:type="dxa" w:w="50"/>
              <w:left w:type="dxa" w:w="90"/>
              <w:bottom w:type="dxa" w:w="50"/>
              <w:right w:type="dxa" w:w="90"/>
            </w:tcMar>
            <w:vAlign w:val="top"/>
          </w:tcPr>
          <w:p>
            <w:pPr>
              <w:spacing w:after="30" w:before="0" w:line="252"/>
            </w:pPr>
            <w:r>
              <w:rPr>
                <w:b/>
                <w:bCs/>
                <w:color w:val="FFFFFF"/>
                <w:sz w:val="16"/>
                <w:szCs w:val="16"/>
              </w:rPr>
              <w:t xml:space="preserve">Art, Frequenz, Owner</w:t>
            </w:r>
          </w:p>
        </w:tc>
        <w:tc>
          <w:tcPr>
            <w:tcW w:type="dxa" w:w="1638"/>
            <w:shd w:fill="13233A" w:color="auto" w:val="clear"/>
            <w:tcMar>
              <w:top w:type="dxa" w:w="50"/>
              <w:left w:type="dxa" w:w="90"/>
              <w:bottom w:type="dxa" w:w="50"/>
              <w:right w:type="dxa" w:w="90"/>
            </w:tcMar>
            <w:vAlign w:val="top"/>
          </w:tcPr>
          <w:p>
            <w:pPr>
              <w:spacing w:after="30" w:before="0" w:line="252"/>
            </w:pPr>
            <w:r>
              <w:rPr>
                <w:b/>
                <w:bCs/>
                <w:color w:val="FFFFFF"/>
                <w:sz w:val="16"/>
                <w:szCs w:val="16"/>
              </w:rPr>
              <w:t xml:space="preserve">Nachweis</w:t>
            </w:r>
          </w:p>
        </w:tc>
        <w:tc>
          <w:tcPr>
            <w:tcW w:type="dxa" w:w="1545"/>
            <w:shd w:fill="13233A" w:color="auto" w:val="clear"/>
            <w:tcMar>
              <w:top w:type="dxa" w:w="50"/>
              <w:left w:type="dxa" w:w="90"/>
              <w:bottom w:type="dxa" w:w="50"/>
              <w:right w:type="dxa" w:w="90"/>
            </w:tcMar>
            <w:vAlign w:val="top"/>
          </w:tcPr>
          <w:p>
            <w:pPr>
              <w:spacing w:after="30" w:before="0" w:line="252"/>
            </w:pPr>
            <w:r>
              <w:rPr>
                <w:b/>
                <w:bCs/>
                <w:color w:val="FFFFFF"/>
                <w:sz w:val="16"/>
                <w:szCs w:val="16"/>
              </w:rPr>
              <w:t xml:space="preserve">Kennz. / KMU</w:t>
            </w:r>
          </w:p>
        </w:tc>
      </w:tr>
      <w:tr>
        <w:trPr>
          <w:cantSplit/>
        </w:trPr>
        <w:tc>
          <w:tcPr>
            <w:tcW w:type="dxa" w:w="481"/>
            <w:tcMar>
              <w:top w:type="dxa" w:w="50"/>
              <w:left w:type="dxa" w:w="90"/>
              <w:bottom w:type="dxa" w:w="50"/>
              <w:right w:type="dxa" w:w="90"/>
            </w:tcMar>
            <w:vAlign w:val="top"/>
          </w:tcPr>
          <w:p>
            <w:pPr>
              <w:spacing w:after="30" w:before="0" w:line="252"/>
            </w:pPr>
            <w:r>
              <w:rPr>
                <w:b/>
                <w:bCs/>
                <w:sz w:val="16"/>
                <w:szCs w:val="16"/>
              </w:rPr>
              <w:t xml:space="preserve">K1</w:t>
            </w:r>
          </w:p>
        </w:tc>
        <w:tc>
          <w:tcPr>
            <w:tcW w:type="dxa" w:w="2602"/>
            <w:tcMar>
              <w:top w:type="dxa" w:w="50"/>
              <w:left w:type="dxa" w:w="90"/>
              <w:bottom w:type="dxa" w:w="50"/>
              <w:right w:type="dxa" w:w="90"/>
            </w:tcMar>
            <w:vAlign w:val="top"/>
          </w:tcPr>
          <w:p>
            <w:pPr>
              <w:spacing w:after="30" w:before="0" w:line="252"/>
            </w:pPr>
            <w:r>
              <w:rPr>
                <w:b w:val="false"/>
                <w:bCs w:val="false"/>
                <w:sz w:val="16"/>
                <w:szCs w:val="16"/>
              </w:rPr>
              <w:t xml:space="preserve">Freigabe-Gate: keine Veröffentlichung ohne Claim-ID im Register</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Veröffentlichung ungeprüfter Aussagen (alle)</w:t>
            </w:r>
          </w:p>
        </w:tc>
        <w:tc>
          <w:tcPr>
            <w:tcW w:type="dxa" w:w="1734"/>
            <w:tcMar>
              <w:top w:type="dxa" w:w="50"/>
              <w:left w:type="dxa" w:w="90"/>
              <w:bottom w:type="dxa" w:w="50"/>
              <w:right w:type="dxa" w:w="90"/>
            </w:tcMar>
            <w:vAlign w:val="top"/>
          </w:tcPr>
          <w:p>
            <w:pPr>
              <w:spacing w:after="30" w:before="0" w:line="252"/>
            </w:pPr>
            <w:r>
              <w:rPr>
                <w:b w:val="false"/>
                <w:bCs w:val="false"/>
                <w:sz w:val="16"/>
                <w:szCs w:val="16"/>
              </w:rPr>
              <w:t xml:space="preserve">präventiv; manuell oder automatisiert im Web-CMS/DAM/PIM; je Veröffentlichung; Marketing, E-Commerce</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Register, System­protokoll</w:t>
            </w:r>
          </w:p>
        </w:tc>
        <w:tc>
          <w:tcPr>
            <w:tcW w:type="dxa" w:w="1545"/>
            <w:tcMar>
              <w:top w:type="dxa" w:w="50"/>
              <w:left w:type="dxa" w:w="90"/>
              <w:bottom w:type="dxa" w:w="50"/>
              <w:right w:type="dxa" w:w="90"/>
            </w:tcMar>
            <w:vAlign w:val="top"/>
          </w:tcPr>
          <w:p>
            <w:pPr>
              <w:spacing w:after="30" w:before="0" w:line="252"/>
            </w:pPr>
            <w:r>
              <w:rPr>
                <w:b/>
                <w:bCs/>
                <w:color w:val="1F6F63"/>
                <w:sz w:val="14"/>
                <w:szCs w:val="14"/>
              </w:rPr>
              <w:t xml:space="preserve">[Organisation]</w:t>
            </w:r>
          </w:p>
          <w:p>
            <w:pPr>
              <w:spacing w:after="30" w:before="0" w:line="252"/>
            </w:pPr>
            <w:r>
              <w:rPr>
                <w:b w:val="false"/>
                <w:bCs w:val="false"/>
                <w:sz w:val="16"/>
                <w:szCs w:val="16"/>
              </w:rPr>
              <w:t xml:space="preserve">KMU: ja (Checkliste)</w:t>
            </w:r>
          </w:p>
        </w:tc>
      </w:tr>
      <w:tr>
        <w:trPr>
          <w:cantSplit/>
        </w:trPr>
        <w:tc>
          <w:tcPr>
            <w:tcW w:type="dxa" w:w="481"/>
            <w:shd w:fill="F3F5F7" w:color="auto" w:val="clear"/>
            <w:tcMar>
              <w:top w:type="dxa" w:w="50"/>
              <w:left w:type="dxa" w:w="90"/>
              <w:bottom w:type="dxa" w:w="50"/>
              <w:right w:type="dxa" w:w="90"/>
            </w:tcMar>
            <w:vAlign w:val="top"/>
          </w:tcPr>
          <w:p>
            <w:pPr>
              <w:spacing w:after="30" w:before="0" w:line="252"/>
            </w:pPr>
            <w:r>
              <w:rPr>
                <w:b/>
                <w:bCs/>
                <w:sz w:val="16"/>
                <w:szCs w:val="16"/>
              </w:rPr>
              <w:t xml:space="preserve">K2</w:t>
            </w:r>
          </w:p>
        </w:tc>
        <w:tc>
          <w:tcPr>
            <w:tcW w:type="dxa" w:w="2602"/>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Negativlisten-Prüfung bei der Klassifizierung</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Per-se-Verstoß (A2–A5, A8, A10)</w:t>
            </w:r>
          </w:p>
        </w:tc>
        <w:tc>
          <w:tcPr>
            <w:tcW w:type="dxa" w:w="1734"/>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präventiv; manuell; je Claim; Claim-Governance-Owner</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Klassifizierungs­vermerk</w:t>
            </w:r>
          </w:p>
        </w:tc>
        <w:tc>
          <w:tcPr>
            <w:tcW w:type="dxa" w:w="1545"/>
            <w:shd w:fill="F3F5F7" w:color="auto" w:val="clear"/>
            <w:tcMar>
              <w:top w:type="dxa" w:w="50"/>
              <w:left w:type="dxa" w:w="90"/>
              <w:bottom w:type="dxa" w:w="50"/>
              <w:right w:type="dxa" w:w="90"/>
            </w:tcMar>
            <w:vAlign w:val="top"/>
          </w:tcPr>
          <w:p>
            <w:pPr>
              <w:spacing w:after="30" w:before="0" w:line="252"/>
            </w:pPr>
            <w:r>
              <w:rPr>
                <w:b/>
                <w:bCs/>
                <w:color w:val="1F6F63"/>
                <w:sz w:val="14"/>
                <w:szCs w:val="14"/>
              </w:rPr>
              <w:t xml:space="preserve">[Organisation]</w:t>
            </w:r>
          </w:p>
          <w:p>
            <w:pPr>
              <w:spacing w:after="30" w:before="0" w:line="252"/>
            </w:pPr>
            <w:r>
              <w:rPr>
                <w:b w:val="false"/>
                <w:bCs w:val="false"/>
                <w:sz w:val="16"/>
                <w:szCs w:val="16"/>
              </w:rPr>
              <w:t xml:space="preserve">KMU: ja</w:t>
            </w:r>
          </w:p>
        </w:tc>
      </w:tr>
      <w:tr>
        <w:trPr>
          <w:cantSplit/>
        </w:trPr>
        <w:tc>
          <w:tcPr>
            <w:tcW w:type="dxa" w:w="481"/>
            <w:tcMar>
              <w:top w:type="dxa" w:w="50"/>
              <w:left w:type="dxa" w:w="90"/>
              <w:bottom w:type="dxa" w:w="50"/>
              <w:right w:type="dxa" w:w="90"/>
            </w:tcMar>
            <w:vAlign w:val="top"/>
          </w:tcPr>
          <w:p>
            <w:pPr>
              <w:spacing w:after="30" w:before="0" w:line="252"/>
            </w:pPr>
            <w:r>
              <w:rPr>
                <w:b/>
                <w:bCs/>
                <w:sz w:val="16"/>
                <w:szCs w:val="16"/>
              </w:rPr>
              <w:t xml:space="preserve">K3</w:t>
            </w:r>
          </w:p>
        </w:tc>
        <w:tc>
          <w:tcPr>
            <w:tcW w:type="dxa" w:w="2602"/>
            <w:tcMar>
              <w:top w:type="dxa" w:w="50"/>
              <w:left w:type="dxa" w:w="90"/>
              <w:bottom w:type="dxa" w:w="50"/>
              <w:right w:type="dxa" w:w="90"/>
            </w:tcMar>
            <w:vAlign w:val="top"/>
          </w:tcPr>
          <w:p>
            <w:pPr>
              <w:spacing w:after="30" w:before="0" w:line="252"/>
            </w:pPr>
            <w:r>
              <w:rPr>
                <w:b w:val="false"/>
                <w:bCs w:val="false"/>
                <w:sz w:val="16"/>
                <w:szCs w:val="16"/>
              </w:rPr>
              <w:t xml:space="preserve">Evidenz­prüfung: Daten, Methode, Scope-Kongruenz (Geltungsbereich der Aussage = Geltungsbereich der Evidenz), Datenstand</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Unrichtige oder überdehnte Aussage (A1, A4, A9, A12)</w:t>
            </w:r>
          </w:p>
        </w:tc>
        <w:tc>
          <w:tcPr>
            <w:tcW w:type="dxa" w:w="1734"/>
            <w:tcMar>
              <w:top w:type="dxa" w:w="50"/>
              <w:left w:type="dxa" w:w="90"/>
              <w:bottom w:type="dxa" w:w="50"/>
              <w:right w:type="dxa" w:w="90"/>
            </w:tcMar>
            <w:vAlign w:val="top"/>
          </w:tcPr>
          <w:p>
            <w:pPr>
              <w:spacing w:after="30" w:before="0" w:line="252"/>
            </w:pPr>
            <w:r>
              <w:rPr>
                <w:b w:val="false"/>
                <w:bCs w:val="false"/>
                <w:sz w:val="16"/>
                <w:szCs w:val="16"/>
              </w:rPr>
              <w:t xml:space="preserve">präventiv; manuell; je Claim; fachlicher Owner (Sustainability, Produkt)</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Prüfvermerk im Dossier</w:t>
            </w:r>
          </w:p>
        </w:tc>
        <w:tc>
          <w:tcPr>
            <w:tcW w:type="dxa" w:w="1545"/>
            <w:tcMar>
              <w:top w:type="dxa" w:w="50"/>
              <w:left w:type="dxa" w:w="90"/>
              <w:bottom w:type="dxa" w:w="50"/>
              <w:right w:type="dxa" w:w="90"/>
            </w:tcMar>
            <w:vAlign w:val="top"/>
          </w:tcPr>
          <w:p>
            <w:pPr>
              <w:spacing w:after="30" w:before="0" w:line="252"/>
            </w:pPr>
            <w:r>
              <w:rPr>
                <w:b/>
                <w:bCs/>
                <w:color w:val="1F6F63"/>
                <w:sz w:val="14"/>
                <w:szCs w:val="14"/>
              </w:rPr>
              <w:t xml:space="preserve">[Organisation]</w:t>
            </w:r>
          </w:p>
          <w:p>
            <w:pPr>
              <w:spacing w:after="30" w:before="0" w:line="252"/>
            </w:pPr>
            <w:r>
              <w:rPr>
                <w:b w:val="false"/>
                <w:bCs w:val="false"/>
                <w:sz w:val="16"/>
                <w:szCs w:val="16"/>
              </w:rPr>
              <w:t xml:space="preserve">KMU: ja</w:t>
            </w:r>
          </w:p>
        </w:tc>
      </w:tr>
      <w:tr>
        <w:trPr>
          <w:cantSplit/>
        </w:trPr>
        <w:tc>
          <w:tcPr>
            <w:tcW w:type="dxa" w:w="481"/>
            <w:shd w:fill="F3F5F7" w:color="auto" w:val="clear"/>
            <w:tcMar>
              <w:top w:type="dxa" w:w="50"/>
              <w:left w:type="dxa" w:w="90"/>
              <w:bottom w:type="dxa" w:w="50"/>
              <w:right w:type="dxa" w:w="90"/>
            </w:tcMar>
            <w:vAlign w:val="top"/>
          </w:tcPr>
          <w:p>
            <w:pPr>
              <w:spacing w:after="30" w:before="0" w:line="252"/>
            </w:pPr>
            <w:r>
              <w:rPr>
                <w:b/>
                <w:bCs/>
                <w:sz w:val="16"/>
                <w:szCs w:val="16"/>
              </w:rPr>
              <w:t xml:space="preserve">K4</w:t>
            </w:r>
          </w:p>
        </w:tc>
        <w:tc>
          <w:tcPr>
            <w:tcW w:type="dxa" w:w="2602"/>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Vier-Augen-Freigabe nach Risikoklasse; Klima-, Zukunfts- und Siegel­aussagen durch Geschäfts­leitung mit Legal</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Selbst­freigabe, Freigabe ohne Kompetenz</w:t>
            </w:r>
          </w:p>
        </w:tc>
        <w:tc>
          <w:tcPr>
            <w:tcW w:type="dxa" w:w="1734"/>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präventiv; manuell; je Claim; Compliance, Geschäfts­leitung</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Freigabelog</w:t>
            </w:r>
          </w:p>
        </w:tc>
        <w:tc>
          <w:tcPr>
            <w:tcW w:type="dxa" w:w="1545"/>
            <w:shd w:fill="F3F5F7" w:color="auto" w:val="clear"/>
            <w:tcMar>
              <w:top w:type="dxa" w:w="50"/>
              <w:left w:type="dxa" w:w="90"/>
              <w:bottom w:type="dxa" w:w="50"/>
              <w:right w:type="dxa" w:w="90"/>
            </w:tcMar>
            <w:vAlign w:val="top"/>
          </w:tcPr>
          <w:p>
            <w:pPr>
              <w:spacing w:after="30" w:before="0" w:line="252"/>
            </w:pPr>
            <w:r>
              <w:rPr>
                <w:b/>
                <w:bCs/>
                <w:color w:val="1F6F63"/>
                <w:sz w:val="14"/>
                <w:szCs w:val="14"/>
              </w:rPr>
              <w:t xml:space="preserve">[Organisation]</w:t>
            </w:r>
          </w:p>
          <w:p>
            <w:pPr>
              <w:spacing w:after="30" w:before="0" w:line="252"/>
            </w:pPr>
            <w:r>
              <w:rPr>
                <w:b w:val="false"/>
                <w:bCs w:val="false"/>
                <w:sz w:val="16"/>
                <w:szCs w:val="16"/>
              </w:rPr>
              <w:t xml:space="preserve">KMU: ja</w:t>
            </w:r>
          </w:p>
        </w:tc>
      </w:tr>
      <w:tr>
        <w:trPr>
          <w:cantSplit/>
        </w:trPr>
        <w:tc>
          <w:tcPr>
            <w:tcW w:type="dxa" w:w="481"/>
            <w:tcMar>
              <w:top w:type="dxa" w:w="50"/>
              <w:left w:type="dxa" w:w="90"/>
              <w:bottom w:type="dxa" w:w="50"/>
              <w:right w:type="dxa" w:w="90"/>
            </w:tcMar>
            <w:vAlign w:val="top"/>
          </w:tcPr>
          <w:p>
            <w:pPr>
              <w:spacing w:after="30" w:before="0" w:line="252"/>
            </w:pPr>
            <w:r>
              <w:rPr>
                <w:b/>
                <w:bCs/>
                <w:sz w:val="16"/>
                <w:szCs w:val="16"/>
              </w:rPr>
              <w:t xml:space="preserve">K5</w:t>
            </w:r>
          </w:p>
        </w:tc>
        <w:tc>
          <w:tcPr>
            <w:tcW w:type="dxa" w:w="2602"/>
            <w:tcMar>
              <w:top w:type="dxa" w:w="50"/>
              <w:left w:type="dxa" w:w="90"/>
              <w:bottom w:type="dxa" w:w="50"/>
              <w:right w:type="dxa" w:w="90"/>
            </w:tcMar>
            <w:vAlign w:val="top"/>
          </w:tcPr>
          <w:p>
            <w:pPr>
              <w:spacing w:after="30" w:before="0" w:line="252"/>
            </w:pPr>
            <w:r>
              <w:rPr>
                <w:b w:val="false"/>
                <w:bCs w:val="false"/>
                <w:sz w:val="16"/>
                <w:szCs w:val="16"/>
              </w:rPr>
              <w:t xml:space="preserve">Siegel­prüfung: Zertifizierungs­system (vier Kriterien) oder staatliche Festsetzung, Lizenzumfang, Laufzeit</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Siegel ohne System, abgelaufene Lizenz (A3)</w:t>
            </w:r>
          </w:p>
        </w:tc>
        <w:tc>
          <w:tcPr>
            <w:tcW w:type="dxa" w:w="1734"/>
            <w:tcMar>
              <w:top w:type="dxa" w:w="50"/>
              <w:left w:type="dxa" w:w="90"/>
              <w:bottom w:type="dxa" w:w="50"/>
              <w:right w:type="dxa" w:w="90"/>
            </w:tcMar>
            <w:vAlign w:val="top"/>
          </w:tcPr>
          <w:p>
            <w:pPr>
              <w:spacing w:after="30" w:before="0" w:line="252"/>
            </w:pPr>
            <w:r>
              <w:rPr>
                <w:b w:val="false"/>
                <w:bCs w:val="false"/>
                <w:sz w:val="16"/>
                <w:szCs w:val="16"/>
              </w:rPr>
              <w:t xml:space="preserve">präventiv und detektiv; vor Nutzung und jährlich; Produkt, QM</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Label-Register</w:t>
            </w:r>
          </w:p>
        </w:tc>
        <w:tc>
          <w:tcPr>
            <w:tcW w:type="dxa" w:w="1545"/>
            <w:tcMar>
              <w:top w:type="dxa" w:w="50"/>
              <w:left w:type="dxa" w:w="90"/>
              <w:bottom w:type="dxa" w:w="50"/>
              <w:right w:type="dxa" w:w="90"/>
            </w:tcMar>
            <w:vAlign w:val="top"/>
          </w:tcPr>
          <w:p>
            <w:pPr>
              <w:spacing w:after="30" w:before="0" w:line="252"/>
            </w:pPr>
            <w:r>
              <w:rPr>
                <w:b/>
                <w:bCs/>
                <w:color w:val="1F6F63"/>
                <w:sz w:val="14"/>
                <w:szCs w:val="14"/>
              </w:rPr>
              <w:t xml:space="preserve">[Organisation]</w:t>
            </w:r>
            <w:r>
              <w:rPr>
                <w:b w:val="false"/>
                <w:bCs w:val="false"/>
                <w:sz w:val="16"/>
                <w:szCs w:val="16"/>
              </w:rPr>
              <w:t xml:space="preserve"> für </w:t>
            </w:r>
            <w:r>
              <w:rPr>
                <w:b/>
                <w:bCs/>
                <w:color w:val="B04A16"/>
                <w:sz w:val="14"/>
                <w:szCs w:val="14"/>
              </w:rPr>
              <w:t xml:space="preserve">[Pflicht]</w:t>
            </w:r>
          </w:p>
          <w:p>
            <w:pPr>
              <w:spacing w:after="30" w:before="0" w:line="252"/>
            </w:pPr>
            <w:r>
              <w:rPr>
                <w:b w:val="false"/>
                <w:bCs w:val="false"/>
                <w:sz w:val="16"/>
                <w:szCs w:val="16"/>
              </w:rPr>
              <w:t xml:space="preserve">KMU: bei Siegelnutzung</w:t>
            </w:r>
          </w:p>
        </w:tc>
      </w:tr>
      <w:tr>
        <w:trPr>
          <w:cantSplit/>
        </w:trPr>
        <w:tc>
          <w:tcPr>
            <w:tcW w:type="dxa" w:w="481"/>
            <w:shd w:fill="F3F5F7" w:color="auto" w:val="clear"/>
            <w:tcMar>
              <w:top w:type="dxa" w:w="50"/>
              <w:left w:type="dxa" w:w="90"/>
              <w:bottom w:type="dxa" w:w="50"/>
              <w:right w:type="dxa" w:w="90"/>
            </w:tcMar>
            <w:vAlign w:val="top"/>
          </w:tcPr>
          <w:p>
            <w:pPr>
              <w:spacing w:after="30" w:before="0" w:line="252"/>
            </w:pPr>
            <w:r>
              <w:rPr>
                <w:b/>
                <w:bCs/>
                <w:sz w:val="16"/>
                <w:szCs w:val="16"/>
              </w:rPr>
              <w:t xml:space="preserve">K6</w:t>
            </w:r>
          </w:p>
        </w:tc>
        <w:tc>
          <w:tcPr>
            <w:tcW w:type="dxa" w:w="2602"/>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Zukunfts­aussagen: Beschluss, Umsetzungs­plan, Prüfung durch unabhängigen Sachverständigen, Veröffentlichung der Ergebnisse vor Freigabe; jährlicher Soll-Ist-Abgleich</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Zukunfts­aussage ohne Plan oder Prüfung (A6)</w:t>
            </w:r>
          </w:p>
        </w:tc>
        <w:tc>
          <w:tcPr>
            <w:tcW w:type="dxa" w:w="1734"/>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präventiv; je Aussage und jährlich; Geschäfts­leitung, Sustainability</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Beschluss, Prüfvermerk, Link oder QR-Code</w:t>
            </w:r>
          </w:p>
        </w:tc>
        <w:tc>
          <w:tcPr>
            <w:tcW w:type="dxa" w:w="1545"/>
            <w:shd w:fill="F3F5F7" w:color="auto" w:val="clear"/>
            <w:tcMar>
              <w:top w:type="dxa" w:w="50"/>
              <w:left w:type="dxa" w:w="90"/>
              <w:bottom w:type="dxa" w:w="50"/>
              <w:right w:type="dxa" w:w="90"/>
            </w:tcMar>
            <w:vAlign w:val="top"/>
          </w:tcPr>
          <w:p>
            <w:pPr>
              <w:spacing w:after="30" w:before="0" w:line="252"/>
            </w:pPr>
            <w:r>
              <w:rPr>
                <w:b/>
                <w:bCs/>
                <w:color w:val="B04A16"/>
                <w:sz w:val="14"/>
                <w:szCs w:val="14"/>
              </w:rPr>
              <w:t xml:space="preserve">[Pflicht]</w:t>
            </w:r>
            <w:r>
              <w:rPr>
                <w:b w:val="false"/>
                <w:bCs w:val="false"/>
                <w:sz w:val="16"/>
                <w:szCs w:val="16"/>
              </w:rPr>
              <w:t xml:space="preserve"> Inhalt, </w:t>
            </w:r>
            <w:r>
              <w:rPr>
                <w:b/>
                <w:bCs/>
                <w:color w:val="1F6F63"/>
                <w:sz w:val="14"/>
                <w:szCs w:val="14"/>
              </w:rPr>
              <w:t xml:space="preserve">[Organisation]</w:t>
            </w:r>
            <w:r>
              <w:rPr>
                <w:b w:val="false"/>
                <w:bCs w:val="false"/>
                <w:sz w:val="16"/>
                <w:szCs w:val="16"/>
              </w:rPr>
              <w:t xml:space="preserve"> Kontrolle</w:t>
            </w:r>
          </w:p>
          <w:p>
            <w:pPr>
              <w:spacing w:after="30" w:before="0" w:line="252"/>
            </w:pPr>
            <w:r>
              <w:rPr>
                <w:b w:val="false"/>
                <w:bCs w:val="false"/>
                <w:sz w:val="16"/>
                <w:szCs w:val="16"/>
              </w:rPr>
              <w:t xml:space="preserve">KMU: nur bei Nutzung</w:t>
            </w:r>
          </w:p>
        </w:tc>
      </w:tr>
      <w:tr>
        <w:trPr>
          <w:cantSplit/>
        </w:trPr>
        <w:tc>
          <w:tcPr>
            <w:tcW w:type="dxa" w:w="481"/>
            <w:tcMar>
              <w:top w:type="dxa" w:w="50"/>
              <w:left w:type="dxa" w:w="90"/>
              <w:bottom w:type="dxa" w:w="50"/>
              <w:right w:type="dxa" w:w="90"/>
            </w:tcMar>
            <w:vAlign w:val="top"/>
          </w:tcPr>
          <w:p>
            <w:pPr>
              <w:spacing w:after="30" w:before="0" w:line="252"/>
            </w:pPr>
            <w:r>
              <w:rPr>
                <w:b/>
                <w:bCs/>
                <w:sz w:val="16"/>
                <w:szCs w:val="16"/>
              </w:rPr>
              <w:t xml:space="preserve">K7</w:t>
            </w:r>
          </w:p>
        </w:tc>
        <w:tc>
          <w:tcPr>
            <w:tcW w:type="dxa" w:w="2602"/>
            <w:tcMar>
              <w:top w:type="dxa" w:w="50"/>
              <w:left w:type="dxa" w:w="90"/>
              <w:bottom w:type="dxa" w:w="50"/>
              <w:right w:type="dxa" w:w="90"/>
            </w:tcMar>
            <w:vAlign w:val="top"/>
          </w:tcPr>
          <w:p>
            <w:pPr>
              <w:spacing w:after="30" w:before="0" w:line="252"/>
            </w:pPr>
            <w:r>
              <w:rPr>
                <w:b w:val="false"/>
                <w:bCs w:val="false"/>
                <w:sz w:val="16"/>
                <w:szCs w:val="16"/>
              </w:rPr>
              <w:t xml:space="preserve">Trigger-Monitoring: Pflichtfrage „Claim betroffen?“ bei Produkt-, Rezeptur-, Verpackungs- und Lieferantenänderung; Ablaufwarnung für Evidenz</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Veraltete Evidenz (A1, A12)</w:t>
            </w:r>
          </w:p>
        </w:tc>
        <w:tc>
          <w:tcPr>
            <w:tcW w:type="dxa" w:w="1734"/>
            <w:tcMar>
              <w:top w:type="dxa" w:w="50"/>
              <w:left w:type="dxa" w:w="90"/>
              <w:bottom w:type="dxa" w:w="50"/>
              <w:right w:type="dxa" w:w="90"/>
            </w:tcMar>
            <w:vAlign w:val="top"/>
          </w:tcPr>
          <w:p>
            <w:pPr>
              <w:spacing w:after="30" w:before="0" w:line="252"/>
            </w:pPr>
            <w:r>
              <w:rPr>
                <w:b w:val="false"/>
                <w:bCs w:val="false"/>
                <w:sz w:val="16"/>
                <w:szCs w:val="16"/>
              </w:rPr>
              <w:t xml:space="preserve">präventiv und detektiv; je Änderung, monatlich; QM, Einkauf, Claim-Owner</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Änderungs­protokoll, Register-Report</w:t>
            </w:r>
          </w:p>
        </w:tc>
        <w:tc>
          <w:tcPr>
            <w:tcW w:type="dxa" w:w="1545"/>
            <w:tcMar>
              <w:top w:type="dxa" w:w="50"/>
              <w:left w:type="dxa" w:w="90"/>
              <w:bottom w:type="dxa" w:w="50"/>
              <w:right w:type="dxa" w:w="90"/>
            </w:tcMar>
            <w:vAlign w:val="top"/>
          </w:tcPr>
          <w:p>
            <w:pPr>
              <w:spacing w:after="30" w:before="0" w:line="252"/>
            </w:pPr>
            <w:r>
              <w:rPr>
                <w:b/>
                <w:bCs/>
                <w:color w:val="1F6F63"/>
                <w:sz w:val="14"/>
                <w:szCs w:val="14"/>
              </w:rPr>
              <w:t xml:space="preserve">[Organisation]</w:t>
            </w:r>
          </w:p>
          <w:p>
            <w:pPr>
              <w:spacing w:after="30" w:before="0" w:line="252"/>
            </w:pPr>
            <w:r>
              <w:rPr>
                <w:b w:val="false"/>
                <w:bCs w:val="false"/>
                <w:sz w:val="16"/>
                <w:szCs w:val="16"/>
              </w:rPr>
              <w:t xml:space="preserve">KMU: ja (manuell)</w:t>
            </w:r>
          </w:p>
        </w:tc>
      </w:tr>
      <w:tr>
        <w:trPr>
          <w:cantSplit/>
        </w:trPr>
        <w:tc>
          <w:tcPr>
            <w:tcW w:type="dxa" w:w="481"/>
            <w:shd w:fill="F3F5F7" w:color="auto" w:val="clear"/>
            <w:tcMar>
              <w:top w:type="dxa" w:w="50"/>
              <w:left w:type="dxa" w:w="90"/>
              <w:bottom w:type="dxa" w:w="50"/>
              <w:right w:type="dxa" w:w="90"/>
            </w:tcMar>
            <w:vAlign w:val="top"/>
          </w:tcPr>
          <w:p>
            <w:pPr>
              <w:spacing w:after="30" w:before="0" w:line="252"/>
            </w:pPr>
            <w:r>
              <w:rPr>
                <w:b/>
                <w:bCs/>
                <w:sz w:val="16"/>
                <w:szCs w:val="16"/>
              </w:rPr>
              <w:t xml:space="preserve">K8</w:t>
            </w:r>
          </w:p>
        </w:tc>
        <w:tc>
          <w:tcPr>
            <w:tcW w:type="dxa" w:w="2602"/>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Kanal-Scan von Website, Shop, Marktplatz und Social Media auf Negativbegriffe, Icons und nicht registrierte Claims</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Unerfasste Claims (Vollständigkeit)</w:t>
            </w:r>
          </w:p>
        </w:tc>
        <w:tc>
          <w:tcPr>
            <w:tcW w:type="dxa" w:w="1734"/>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detektiv; quartalsweise; Marketing, Compliance</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Scan-Bericht</w:t>
            </w:r>
          </w:p>
        </w:tc>
        <w:tc>
          <w:tcPr>
            <w:tcW w:type="dxa" w:w="1545"/>
            <w:shd w:fill="F3F5F7" w:color="auto" w:val="clear"/>
            <w:tcMar>
              <w:top w:type="dxa" w:w="50"/>
              <w:left w:type="dxa" w:w="90"/>
              <w:bottom w:type="dxa" w:w="50"/>
              <w:right w:type="dxa" w:w="90"/>
            </w:tcMar>
            <w:vAlign w:val="top"/>
          </w:tcPr>
          <w:p>
            <w:pPr>
              <w:spacing w:after="30" w:before="0" w:line="252"/>
            </w:pPr>
            <w:r>
              <w:rPr>
                <w:b/>
                <w:bCs/>
                <w:color w:val="1F6F63"/>
                <w:sz w:val="14"/>
                <w:szCs w:val="14"/>
              </w:rPr>
              <w:t xml:space="preserve">[Organisation]</w:t>
            </w:r>
            <w:r>
              <w:rPr>
                <w:b w:val="false"/>
                <w:bCs w:val="false"/>
                <w:sz w:val="16"/>
                <w:szCs w:val="16"/>
              </w:rPr>
              <w:t xml:space="preserve">; automatisiert </w:t>
            </w:r>
            <w:r>
              <w:rPr>
                <w:b/>
                <w:bCs/>
                <w:color w:val="5B4B8A"/>
                <w:sz w:val="14"/>
                <w:szCs w:val="14"/>
              </w:rPr>
              <w:t xml:space="preserve">[Best Practice]</w:t>
            </w:r>
          </w:p>
          <w:p>
            <w:pPr>
              <w:spacing w:after="30" w:before="0" w:line="252"/>
            </w:pPr>
            <w:r>
              <w:rPr>
                <w:b w:val="false"/>
                <w:bCs w:val="false"/>
                <w:sz w:val="16"/>
                <w:szCs w:val="16"/>
              </w:rPr>
              <w:t xml:space="preserve">KMU: halbjährlich manuell</w:t>
            </w:r>
          </w:p>
        </w:tc>
      </w:tr>
      <w:tr>
        <w:trPr>
          <w:cantSplit/>
        </w:trPr>
        <w:tc>
          <w:tcPr>
            <w:tcW w:type="dxa" w:w="481"/>
            <w:tcMar>
              <w:top w:type="dxa" w:w="50"/>
              <w:left w:type="dxa" w:w="90"/>
              <w:bottom w:type="dxa" w:w="50"/>
              <w:right w:type="dxa" w:w="90"/>
            </w:tcMar>
            <w:vAlign w:val="top"/>
          </w:tcPr>
          <w:p>
            <w:pPr>
              <w:spacing w:after="30" w:before="0" w:line="252"/>
            </w:pPr>
            <w:r>
              <w:rPr>
                <w:b/>
                <w:bCs/>
                <w:sz w:val="16"/>
                <w:szCs w:val="16"/>
              </w:rPr>
              <w:t xml:space="preserve">K9</w:t>
            </w:r>
          </w:p>
        </w:tc>
        <w:tc>
          <w:tcPr>
            <w:tcW w:type="dxa" w:w="2602"/>
            <w:tcMar>
              <w:top w:type="dxa" w:w="50"/>
              <w:left w:type="dxa" w:w="90"/>
              <w:bottom w:type="dxa" w:w="50"/>
              <w:right w:type="dxa" w:w="90"/>
            </w:tcMar>
            <w:vAlign w:val="top"/>
          </w:tcPr>
          <w:p>
            <w:pPr>
              <w:spacing w:after="30" w:before="0" w:line="252"/>
            </w:pPr>
            <w:r>
              <w:rPr>
                <w:b w:val="false"/>
                <w:bCs w:val="false"/>
                <w:sz w:val="16"/>
                <w:szCs w:val="16"/>
              </w:rPr>
              <w:t xml:space="preserve">Stichprobe bei Agentur-, Influencer- und Händlerinhalten</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Zurechnung nach § 8 Abs. 2 UWG (A13)</w:t>
            </w:r>
          </w:p>
        </w:tc>
        <w:tc>
          <w:tcPr>
            <w:tcW w:type="dxa" w:w="1734"/>
            <w:tcMar>
              <w:top w:type="dxa" w:w="50"/>
              <w:left w:type="dxa" w:w="90"/>
              <w:bottom w:type="dxa" w:w="50"/>
              <w:right w:type="dxa" w:w="90"/>
            </w:tcMar>
            <w:vAlign w:val="top"/>
          </w:tcPr>
          <w:p>
            <w:pPr>
              <w:spacing w:after="30" w:before="0" w:line="252"/>
            </w:pPr>
            <w:r>
              <w:rPr>
                <w:b w:val="false"/>
                <w:bCs w:val="false"/>
                <w:sz w:val="16"/>
                <w:szCs w:val="16"/>
              </w:rPr>
              <w:t xml:space="preserve">detektiv; quartalsweise; Marketing, Einkauf</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Stichproben­protokoll</w:t>
            </w:r>
          </w:p>
        </w:tc>
        <w:tc>
          <w:tcPr>
            <w:tcW w:type="dxa" w:w="1545"/>
            <w:tcMar>
              <w:top w:type="dxa" w:w="50"/>
              <w:left w:type="dxa" w:w="90"/>
              <w:bottom w:type="dxa" w:w="50"/>
              <w:right w:type="dxa" w:w="90"/>
            </w:tcMar>
            <w:vAlign w:val="top"/>
          </w:tcPr>
          <w:p>
            <w:pPr>
              <w:spacing w:after="30" w:before="0" w:line="252"/>
            </w:pPr>
            <w:r>
              <w:rPr>
                <w:b/>
                <w:bCs/>
                <w:color w:val="1F6F63"/>
                <w:sz w:val="14"/>
                <w:szCs w:val="14"/>
              </w:rPr>
              <w:t xml:space="preserve">[Organisation]</w:t>
            </w:r>
          </w:p>
          <w:p>
            <w:pPr>
              <w:spacing w:after="30" w:before="0" w:line="252"/>
            </w:pPr>
            <w:r>
              <w:rPr>
                <w:b w:val="false"/>
                <w:bCs w:val="false"/>
                <w:sz w:val="16"/>
                <w:szCs w:val="16"/>
              </w:rPr>
              <w:t xml:space="preserve">KMU: ja</w:t>
            </w:r>
          </w:p>
        </w:tc>
      </w:tr>
      <w:tr>
        <w:trPr>
          <w:cantSplit/>
        </w:trPr>
        <w:tc>
          <w:tcPr>
            <w:tcW w:type="dxa" w:w="481"/>
            <w:shd w:fill="F3F5F7" w:color="auto" w:val="clear"/>
            <w:tcMar>
              <w:top w:type="dxa" w:w="50"/>
              <w:left w:type="dxa" w:w="90"/>
              <w:bottom w:type="dxa" w:w="50"/>
              <w:right w:type="dxa" w:w="90"/>
            </w:tcMar>
            <w:vAlign w:val="top"/>
          </w:tcPr>
          <w:p>
            <w:pPr>
              <w:spacing w:after="30" w:before="0" w:line="252"/>
            </w:pPr>
            <w:r>
              <w:rPr>
                <w:b/>
                <w:bCs/>
                <w:sz w:val="16"/>
                <w:szCs w:val="16"/>
              </w:rPr>
              <w:t xml:space="preserve">K10</w:t>
            </w:r>
          </w:p>
        </w:tc>
        <w:tc>
          <w:tcPr>
            <w:tcW w:type="dxa" w:w="2602"/>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Pflicht­felder in PIM und Shop: Gewährleistungshinweis, Garantie-Label, Update-Zeitraum, Reparatur- und Ersatzteil­informationen, Lieferoptionen</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Fehlende Pflicht­informationen (A11)</w:t>
            </w:r>
          </w:p>
        </w:tc>
        <w:tc>
          <w:tcPr>
            <w:tcW w:type="dxa" w:w="1734"/>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präventiv; automatisiert (Pflicht­feldlogik); laufend; E-Commerce, Produktdaten</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Datenqualitäts­bericht</w:t>
            </w:r>
          </w:p>
        </w:tc>
        <w:tc>
          <w:tcPr>
            <w:tcW w:type="dxa" w:w="1545"/>
            <w:shd w:fill="F3F5F7" w:color="auto" w:val="clear"/>
            <w:tcMar>
              <w:top w:type="dxa" w:w="50"/>
              <w:left w:type="dxa" w:w="90"/>
              <w:bottom w:type="dxa" w:w="50"/>
              <w:right w:type="dxa" w:w="90"/>
            </w:tcMar>
            <w:vAlign w:val="top"/>
          </w:tcPr>
          <w:p>
            <w:pPr>
              <w:spacing w:after="30" w:before="0" w:line="252"/>
            </w:pPr>
            <w:r>
              <w:rPr>
                <w:b/>
                <w:bCs/>
                <w:color w:val="1F6F63"/>
                <w:sz w:val="14"/>
                <w:szCs w:val="14"/>
              </w:rPr>
              <w:t xml:space="preserve">[Organisation]</w:t>
            </w:r>
            <w:r>
              <w:rPr>
                <w:b w:val="false"/>
                <w:bCs w:val="false"/>
                <w:sz w:val="16"/>
                <w:szCs w:val="16"/>
              </w:rPr>
              <w:t xml:space="preserve"> für </w:t>
            </w:r>
            <w:r>
              <w:rPr>
                <w:b/>
                <w:bCs/>
                <w:color w:val="B04A16"/>
                <w:sz w:val="14"/>
                <w:szCs w:val="14"/>
              </w:rPr>
              <w:t xml:space="preserve">[Pflicht]</w:t>
            </w:r>
          </w:p>
          <w:p>
            <w:pPr>
              <w:spacing w:after="30" w:before="0" w:line="252"/>
            </w:pPr>
            <w:r>
              <w:rPr>
                <w:b w:val="false"/>
                <w:bCs w:val="false"/>
                <w:sz w:val="16"/>
                <w:szCs w:val="16"/>
              </w:rPr>
              <w:t xml:space="preserve">KMU: bei Onlinehandel</w:t>
            </w:r>
          </w:p>
        </w:tc>
      </w:tr>
      <w:tr>
        <w:trPr>
          <w:cantSplit/>
        </w:trPr>
        <w:tc>
          <w:tcPr>
            <w:tcW w:type="dxa" w:w="481"/>
            <w:tcMar>
              <w:top w:type="dxa" w:w="50"/>
              <w:left w:type="dxa" w:w="90"/>
              <w:bottom w:type="dxa" w:w="50"/>
              <w:right w:type="dxa" w:w="90"/>
            </w:tcMar>
            <w:vAlign w:val="top"/>
          </w:tcPr>
          <w:p>
            <w:pPr>
              <w:spacing w:after="30" w:before="0" w:line="252"/>
            </w:pPr>
            <w:r>
              <w:rPr>
                <w:b/>
                <w:bCs/>
                <w:sz w:val="16"/>
                <w:szCs w:val="16"/>
              </w:rPr>
              <w:t xml:space="preserve">K11</w:t>
            </w:r>
          </w:p>
        </w:tc>
        <w:tc>
          <w:tcPr>
            <w:tcW w:type="dxa" w:w="2602"/>
            <w:tcMar>
              <w:top w:type="dxa" w:w="50"/>
              <w:left w:type="dxa" w:w="90"/>
              <w:bottom w:type="dxa" w:w="50"/>
              <w:right w:type="dxa" w:w="90"/>
            </w:tcMar>
            <w:vAlign w:val="top"/>
          </w:tcPr>
          <w:p>
            <w:pPr>
              <w:spacing w:after="30" w:before="0" w:line="252"/>
            </w:pPr>
            <w:r>
              <w:rPr>
                <w:b w:val="false"/>
                <w:bCs w:val="false"/>
                <w:sz w:val="16"/>
                <w:szCs w:val="16"/>
              </w:rPr>
              <w:t xml:space="preserve">Konsistenz­abgleich zwischen Nachhaltigkeits­bericht, Website, Werbung und B2B-Datenblättern</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Widersprüchliche Aussagen als Beweismittel für Kläger</w:t>
            </w:r>
          </w:p>
        </w:tc>
        <w:tc>
          <w:tcPr>
            <w:tcW w:type="dxa" w:w="1734"/>
            <w:tcMar>
              <w:top w:type="dxa" w:w="50"/>
              <w:left w:type="dxa" w:w="90"/>
              <w:bottom w:type="dxa" w:w="50"/>
              <w:right w:type="dxa" w:w="90"/>
            </w:tcMar>
            <w:vAlign w:val="top"/>
          </w:tcPr>
          <w:p>
            <w:pPr>
              <w:spacing w:after="30" w:before="0" w:line="252"/>
            </w:pPr>
            <w:r>
              <w:rPr>
                <w:b w:val="false"/>
                <w:bCs w:val="false"/>
                <w:sz w:val="16"/>
                <w:szCs w:val="16"/>
              </w:rPr>
              <w:t xml:space="preserve">detektiv; jährlich vor Berichts­veröffentlichung; Sustainability, Compliance</w:t>
            </w:r>
          </w:p>
        </w:tc>
        <w:tc>
          <w:tcPr>
            <w:tcW w:type="dxa" w:w="1638"/>
            <w:tcMar>
              <w:top w:type="dxa" w:w="50"/>
              <w:left w:type="dxa" w:w="90"/>
              <w:bottom w:type="dxa" w:w="50"/>
              <w:right w:type="dxa" w:w="90"/>
            </w:tcMar>
            <w:vAlign w:val="top"/>
          </w:tcPr>
          <w:p>
            <w:pPr>
              <w:spacing w:after="30" w:before="0" w:line="252"/>
            </w:pPr>
            <w:r>
              <w:rPr>
                <w:b w:val="false"/>
                <w:bCs w:val="false"/>
                <w:sz w:val="16"/>
                <w:szCs w:val="16"/>
              </w:rPr>
              <w:t xml:space="preserve">Abgleich­protokoll</w:t>
            </w:r>
          </w:p>
        </w:tc>
        <w:tc>
          <w:tcPr>
            <w:tcW w:type="dxa" w:w="1545"/>
            <w:tcMar>
              <w:top w:type="dxa" w:w="50"/>
              <w:left w:type="dxa" w:w="90"/>
              <w:bottom w:type="dxa" w:w="50"/>
              <w:right w:type="dxa" w:w="90"/>
            </w:tcMar>
            <w:vAlign w:val="top"/>
          </w:tcPr>
          <w:p>
            <w:pPr>
              <w:spacing w:after="30" w:before="0" w:line="252"/>
            </w:pPr>
            <w:r>
              <w:rPr>
                <w:b/>
                <w:bCs/>
                <w:color w:val="5B4B8A"/>
                <w:sz w:val="14"/>
                <w:szCs w:val="14"/>
              </w:rPr>
              <w:t xml:space="preserve">[Best Practice]</w:t>
            </w:r>
          </w:p>
          <w:p>
            <w:pPr>
              <w:spacing w:after="30" w:before="0" w:line="252"/>
            </w:pPr>
            <w:r>
              <w:rPr>
                <w:b w:val="false"/>
                <w:bCs w:val="false"/>
                <w:sz w:val="16"/>
                <w:szCs w:val="16"/>
              </w:rPr>
              <w:t xml:space="preserve">KMU: optional</w:t>
            </w:r>
          </w:p>
        </w:tc>
      </w:tr>
      <w:tr>
        <w:trPr>
          <w:cantSplit/>
        </w:trPr>
        <w:tc>
          <w:tcPr>
            <w:tcW w:type="dxa" w:w="481"/>
            <w:shd w:fill="F3F5F7" w:color="auto" w:val="clear"/>
            <w:tcMar>
              <w:top w:type="dxa" w:w="50"/>
              <w:left w:type="dxa" w:w="90"/>
              <w:bottom w:type="dxa" w:w="50"/>
              <w:right w:type="dxa" w:w="90"/>
            </w:tcMar>
            <w:vAlign w:val="top"/>
          </w:tcPr>
          <w:p>
            <w:pPr>
              <w:spacing w:after="30" w:before="0" w:line="252"/>
            </w:pPr>
            <w:r>
              <w:rPr>
                <w:b/>
                <w:bCs/>
                <w:sz w:val="16"/>
                <w:szCs w:val="16"/>
              </w:rPr>
              <w:t xml:space="preserve">K12</w:t>
            </w:r>
          </w:p>
        </w:tc>
        <w:tc>
          <w:tcPr>
            <w:tcW w:type="dxa" w:w="2602"/>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Beanstandungs- und Abmahn­prozess: Fristen, Evidenzabruf, Kanal­bereinigung, Lessons Learned; halbjährlicher Test „Dossier in 48 Stunden“</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Verteidigungs­un­fähigkeit, Wiederholung (A12, A14)</w:t>
            </w:r>
          </w:p>
        </w:tc>
        <w:tc>
          <w:tcPr>
            <w:tcW w:type="dxa" w:w="1734"/>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korrektiv; je Fall, Test halbjährlich; Compliance, Legal</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6"/>
                <w:szCs w:val="16"/>
              </w:rPr>
              <w:t xml:space="preserve">Fallakte, Test­protokoll</w:t>
            </w:r>
          </w:p>
        </w:tc>
        <w:tc>
          <w:tcPr>
            <w:tcW w:type="dxa" w:w="1545"/>
            <w:shd w:fill="F3F5F7" w:color="auto" w:val="clear"/>
            <w:tcMar>
              <w:top w:type="dxa" w:w="50"/>
              <w:left w:type="dxa" w:w="90"/>
              <w:bottom w:type="dxa" w:w="50"/>
              <w:right w:type="dxa" w:w="90"/>
            </w:tcMar>
            <w:vAlign w:val="top"/>
          </w:tcPr>
          <w:p>
            <w:pPr>
              <w:spacing w:after="30" w:before="0" w:line="252"/>
            </w:pPr>
            <w:r>
              <w:rPr>
                <w:b/>
                <w:bCs/>
                <w:color w:val="1F6F63"/>
                <w:sz w:val="14"/>
                <w:szCs w:val="14"/>
              </w:rPr>
              <w:t xml:space="preserve">[Organisation]</w:t>
            </w:r>
            <w:r>
              <w:rPr>
                <w:b w:val="false"/>
                <w:bCs w:val="false"/>
                <w:sz w:val="16"/>
                <w:szCs w:val="16"/>
              </w:rPr>
              <w:t xml:space="preserve">; 48-h-Test </w:t>
            </w:r>
            <w:r>
              <w:rPr>
                <w:b/>
                <w:bCs/>
                <w:color w:val="5B4B8A"/>
                <w:sz w:val="14"/>
                <w:szCs w:val="14"/>
              </w:rPr>
              <w:t xml:space="preserve">[Best Practice]</w:t>
            </w:r>
          </w:p>
          <w:p>
            <w:pPr>
              <w:spacing w:after="30" w:before="0" w:line="252"/>
            </w:pPr>
            <w:r>
              <w:rPr>
                <w:b w:val="false"/>
                <w:bCs w:val="false"/>
                <w:sz w:val="16"/>
                <w:szCs w:val="16"/>
              </w:rPr>
              <w:t xml:space="preserve">KMU: ja</w:t>
            </w:r>
          </w:p>
        </w:tc>
      </w:tr>
    </w:tbl>
    <w:p>
      <w:pPr>
        <w:spacing w:after="120"/>
      </w:pPr>
    </w:p>
    <w:p>
      <w:pPr>
        <w:pStyle w:val="Heading2"/>
        <w:keepNext/>
      </w:pPr>
      <w:r>
        <w:t xml:space="preserve">7.4 Anzupassende Elemente und Wiederverwendung</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891"/>
        <w:gridCol w:w="5493"/>
        <w:gridCol w:w="1254"/>
      </w:tblGrid>
      <w:tr>
        <w:trPr>
          <w:cantSplit/>
          <w:tblHeader/>
        </w:trPr>
        <w:tc>
          <w:tcPr>
            <w:tcW w:type="dxa" w:w="2891"/>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Bestehendes Element</w:t>
            </w:r>
          </w:p>
        </w:tc>
        <w:tc>
          <w:tcPr>
            <w:tcW w:type="dxa" w:w="549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Anpassung</w:t>
            </w:r>
          </w:p>
        </w:tc>
        <w:tc>
          <w:tcPr>
            <w:tcW w:type="dxa" w:w="1254"/>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Kennz.</w:t>
            </w:r>
          </w:p>
        </w:tc>
      </w:tr>
      <w:tr>
        <w:trPr>
          <w:cantSplit/>
        </w:trPr>
        <w:tc>
          <w:tcPr>
            <w:tcW w:type="dxa" w:w="2891"/>
            <w:tcMar>
              <w:top w:type="dxa" w:w="50"/>
              <w:left w:type="dxa" w:w="90"/>
              <w:bottom w:type="dxa" w:w="50"/>
              <w:right w:type="dxa" w:w="90"/>
            </w:tcMar>
            <w:vAlign w:val="top"/>
          </w:tcPr>
          <w:p>
            <w:pPr>
              <w:spacing w:after="30" w:before="0" w:line="252"/>
            </w:pPr>
            <w:r>
              <w:rPr>
                <w:b/>
                <w:bCs/>
                <w:sz w:val="17"/>
                <w:szCs w:val="17"/>
              </w:rPr>
              <w:t xml:space="preserve">Kompetenzordnung, Unterschriften­regelung</w:t>
            </w:r>
          </w:p>
        </w:tc>
        <w:tc>
          <w:tcPr>
            <w:tcW w:type="dxa" w:w="5493"/>
            <w:tcMar>
              <w:top w:type="dxa" w:w="50"/>
              <w:left w:type="dxa" w:w="90"/>
              <w:bottom w:type="dxa" w:w="50"/>
              <w:right w:type="dxa" w:w="90"/>
            </w:tcMar>
            <w:vAlign w:val="top"/>
          </w:tcPr>
          <w:p>
            <w:pPr>
              <w:spacing w:after="30" w:before="0" w:line="252"/>
            </w:pPr>
            <w:r>
              <w:rPr>
                <w:b w:val="false"/>
                <w:bCs w:val="false"/>
                <w:sz w:val="17"/>
                <w:szCs w:val="17"/>
              </w:rPr>
              <w:t xml:space="preserve">Claim-Risikoklassen und Freigabeinstanzen ergänzen.</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891"/>
            <w:shd w:fill="F3F5F7" w:color="auto" w:val="clear"/>
            <w:tcMar>
              <w:top w:type="dxa" w:w="50"/>
              <w:left w:type="dxa" w:w="90"/>
              <w:bottom w:type="dxa" w:w="50"/>
              <w:right w:type="dxa" w:w="90"/>
            </w:tcMar>
            <w:vAlign w:val="top"/>
          </w:tcPr>
          <w:p>
            <w:pPr>
              <w:spacing w:after="30" w:before="0" w:line="252"/>
            </w:pPr>
            <w:r>
              <w:rPr>
                <w:b/>
                <w:bCs/>
                <w:sz w:val="17"/>
                <w:szCs w:val="17"/>
              </w:rPr>
              <w:t xml:space="preserve">Werbe-, Druck- und Verpackungs­freigaben</w:t>
            </w:r>
          </w:p>
        </w:tc>
        <w:tc>
          <w:tcPr>
            <w:tcW w:type="dxa" w:w="549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Pflicht­felder: Claim-ID, Klassifizierung, Evidenzverweis.</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891"/>
            <w:tcMar>
              <w:top w:type="dxa" w:w="50"/>
              <w:left w:type="dxa" w:w="90"/>
              <w:bottom w:type="dxa" w:w="50"/>
              <w:right w:type="dxa" w:w="90"/>
            </w:tcMar>
            <w:vAlign w:val="top"/>
          </w:tcPr>
          <w:p>
            <w:pPr>
              <w:spacing w:after="30" w:before="0" w:line="252"/>
            </w:pPr>
            <w:r>
              <w:rPr>
                <w:b/>
                <w:bCs/>
                <w:sz w:val="17"/>
                <w:szCs w:val="17"/>
              </w:rPr>
              <w:t xml:space="preserve">Produktentstehungs­prozess (Stage-Gate)</w:t>
            </w:r>
          </w:p>
        </w:tc>
        <w:tc>
          <w:tcPr>
            <w:tcW w:type="dxa" w:w="5493"/>
            <w:tcMar>
              <w:top w:type="dxa" w:w="50"/>
              <w:left w:type="dxa" w:w="90"/>
              <w:bottom w:type="dxa" w:w="50"/>
              <w:right w:type="dxa" w:w="90"/>
            </w:tcMar>
            <w:vAlign w:val="top"/>
          </w:tcPr>
          <w:p>
            <w:pPr>
              <w:spacing w:after="30" w:before="0" w:line="252"/>
            </w:pPr>
            <w:r>
              <w:rPr>
                <w:b w:val="false"/>
                <w:bCs w:val="false"/>
                <w:sz w:val="17"/>
                <w:szCs w:val="17"/>
              </w:rPr>
              <w:t xml:space="preserve">Gate-Kriterium „Claims belegt und freigegeben“; Haltbarkeits- und Reparatur­aussagen (A10).</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891"/>
            <w:shd w:fill="F3F5F7" w:color="auto" w:val="clear"/>
            <w:tcMar>
              <w:top w:type="dxa" w:w="50"/>
              <w:left w:type="dxa" w:w="90"/>
              <w:bottom w:type="dxa" w:w="50"/>
              <w:right w:type="dxa" w:w="90"/>
            </w:tcMar>
            <w:vAlign w:val="top"/>
          </w:tcPr>
          <w:p>
            <w:pPr>
              <w:spacing w:after="30" w:before="0" w:line="252"/>
            </w:pPr>
            <w:r>
              <w:rPr>
                <w:b/>
                <w:bCs/>
                <w:sz w:val="17"/>
                <w:szCs w:val="17"/>
              </w:rPr>
              <w:t xml:space="preserve">Änderungs­lenkung (Produkt, Verpackung, Lieferant)</w:t>
            </w:r>
          </w:p>
        </w:tc>
        <w:tc>
          <w:tcPr>
            <w:tcW w:type="dxa" w:w="549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Pflichtfrage „Claim betroffen?“.</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891"/>
            <w:tcMar>
              <w:top w:type="dxa" w:w="50"/>
              <w:left w:type="dxa" w:w="90"/>
              <w:bottom w:type="dxa" w:w="50"/>
              <w:right w:type="dxa" w:w="90"/>
            </w:tcMar>
            <w:vAlign w:val="top"/>
          </w:tcPr>
          <w:p>
            <w:pPr>
              <w:spacing w:after="30" w:before="0" w:line="252"/>
            </w:pPr>
            <w:r>
              <w:rPr>
                <w:b/>
                <w:bCs/>
                <w:sz w:val="17"/>
                <w:szCs w:val="17"/>
              </w:rPr>
              <w:t xml:space="preserve">Stammdaten- und PIM-Kontrollen</w:t>
            </w:r>
          </w:p>
        </w:tc>
        <w:tc>
          <w:tcPr>
            <w:tcW w:type="dxa" w:w="5493"/>
            <w:tcMar>
              <w:top w:type="dxa" w:w="50"/>
              <w:left w:type="dxa" w:w="90"/>
              <w:bottom w:type="dxa" w:w="50"/>
              <w:right w:type="dxa" w:w="90"/>
            </w:tcMar>
            <w:vAlign w:val="top"/>
          </w:tcPr>
          <w:p>
            <w:pPr>
              <w:spacing w:after="30" w:before="0" w:line="252"/>
            </w:pPr>
            <w:r>
              <w:rPr>
                <w:b w:val="false"/>
                <w:bCs w:val="false"/>
                <w:sz w:val="17"/>
                <w:szCs w:val="17"/>
              </w:rPr>
              <w:t xml:space="preserve">Neue Pflichtattribute (A11); Freigabe von Produkttexten.</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891"/>
            <w:shd w:fill="F3F5F7" w:color="auto" w:val="clear"/>
            <w:tcMar>
              <w:top w:type="dxa" w:w="50"/>
              <w:left w:type="dxa" w:w="90"/>
              <w:bottom w:type="dxa" w:w="50"/>
              <w:right w:type="dxa" w:w="90"/>
            </w:tcMar>
            <w:vAlign w:val="top"/>
          </w:tcPr>
          <w:p>
            <w:pPr>
              <w:spacing w:after="30" w:before="0" w:line="252"/>
            </w:pPr>
            <w:r>
              <w:rPr>
                <w:b/>
                <w:bCs/>
                <w:sz w:val="17"/>
                <w:szCs w:val="17"/>
              </w:rPr>
              <w:t xml:space="preserve">Wareneingang und Lieferanten­bewertung</w:t>
            </w:r>
          </w:p>
        </w:tc>
        <w:tc>
          <w:tcPr>
            <w:tcW w:type="dxa" w:w="549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Prüfung claimrelevanter Zertifikate und Erklärungen.</w:t>
            </w:r>
          </w:p>
        </w:tc>
        <w:tc>
          <w:tcPr>
            <w:tcW w:type="dxa" w:w="1254"/>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891"/>
            <w:tcMar>
              <w:top w:type="dxa" w:w="50"/>
              <w:left w:type="dxa" w:w="90"/>
              <w:bottom w:type="dxa" w:w="50"/>
              <w:right w:type="dxa" w:w="90"/>
            </w:tcMar>
            <w:vAlign w:val="top"/>
          </w:tcPr>
          <w:p>
            <w:pPr>
              <w:spacing w:after="30" w:before="0" w:line="252"/>
            </w:pPr>
            <w:r>
              <w:rPr>
                <w:b/>
                <w:bCs/>
                <w:sz w:val="17"/>
                <w:szCs w:val="17"/>
              </w:rPr>
              <w:t xml:space="preserve">IT-Kontrollen in Web-CMS, DAM und Shop</w:t>
            </w:r>
          </w:p>
        </w:tc>
        <w:tc>
          <w:tcPr>
            <w:tcW w:type="dxa" w:w="5493"/>
            <w:tcMar>
              <w:top w:type="dxa" w:w="50"/>
              <w:left w:type="dxa" w:w="90"/>
              <w:bottom w:type="dxa" w:w="50"/>
              <w:right w:type="dxa" w:w="90"/>
            </w:tcMar>
            <w:vAlign w:val="top"/>
          </w:tcPr>
          <w:p>
            <w:pPr>
              <w:spacing w:after="30" w:before="0" w:line="252"/>
            </w:pPr>
            <w:r>
              <w:rPr>
                <w:b w:val="false"/>
                <w:bCs w:val="false"/>
                <w:sz w:val="17"/>
                <w:szCs w:val="17"/>
              </w:rPr>
              <w:t xml:space="preserve">Nur berechtigte Rollen veröffentlichen; Änderungen werden protokolliert.</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2891"/>
            <w:shd w:fill="F3F5F7" w:color="auto" w:val="clear"/>
            <w:tcMar>
              <w:top w:type="dxa" w:w="50"/>
              <w:left w:type="dxa" w:w="90"/>
              <w:bottom w:type="dxa" w:w="50"/>
              <w:right w:type="dxa" w:w="90"/>
            </w:tcMar>
            <w:vAlign w:val="top"/>
          </w:tcPr>
          <w:p>
            <w:pPr>
              <w:spacing w:after="30" w:before="0" w:line="252"/>
            </w:pPr>
            <w:r>
              <w:rPr>
                <w:b/>
                <w:bCs/>
                <w:sz w:val="17"/>
                <w:szCs w:val="17"/>
              </w:rPr>
              <w:t xml:space="preserve">Kontrollen der Nachhaltigkeits­berichterstattung, falls vorhanden</w:t>
            </w:r>
          </w:p>
        </w:tc>
        <w:tc>
          <w:tcPr>
            <w:tcW w:type="dxa" w:w="549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Datenbasis als Evidenzquelle nutzen; Konsistenz­abgleich (K11) </w:t>
            </w:r>
            <w:r>
              <w:rPr>
                <w:b w:val="false"/>
                <w:bCs w:val="false"/>
                <w:color w:val="5E6B78"/>
                <w:sz w:val="14"/>
                <w:szCs w:val="14"/>
              </w:rPr>
              <w:t xml:space="preserve">[S8]</w:t>
            </w:r>
            <w:r>
              <w:rPr>
                <w:b w:val="false"/>
                <w:bCs w:val="false"/>
                <w:sz w:val="17"/>
                <w:szCs w:val="17"/>
              </w:rPr>
              <w:t xml:space="preserve">.</w:t>
            </w:r>
          </w:p>
        </w:tc>
        <w:tc>
          <w:tcPr>
            <w:tcW w:type="dxa" w:w="1254"/>
            <w:shd w:fill="F3F5F7" w:color="auto" w:val="clear"/>
            <w:tcMar>
              <w:top w:type="dxa" w:w="50"/>
              <w:left w:type="dxa" w:w="90"/>
              <w:bottom w:type="dxa" w:w="50"/>
              <w:right w:type="dxa" w:w="90"/>
            </w:tcMar>
            <w:vAlign w:val="top"/>
          </w:tcPr>
          <w:p>
            <w:pPr>
              <w:spacing w:after="30" w:before="0" w:line="252"/>
            </w:pPr>
            <w:r>
              <w:rPr>
                <w:b/>
                <w:bCs/>
                <w:color w:val="5B4B8A"/>
                <w:sz w:val="15"/>
                <w:szCs w:val="15"/>
              </w:rPr>
              <w:t xml:space="preserve">[Best Practice]</w:t>
            </w:r>
          </w:p>
        </w:tc>
      </w:tr>
      <w:tr>
        <w:trPr>
          <w:cantSplit/>
        </w:trPr>
        <w:tc>
          <w:tcPr>
            <w:tcW w:type="dxa" w:w="2891"/>
            <w:tcMar>
              <w:top w:type="dxa" w:w="50"/>
              <w:left w:type="dxa" w:w="90"/>
              <w:bottom w:type="dxa" w:w="50"/>
              <w:right w:type="dxa" w:w="90"/>
            </w:tcMar>
            <w:vAlign w:val="top"/>
          </w:tcPr>
          <w:p>
            <w:pPr>
              <w:spacing w:after="30" w:before="0" w:line="252"/>
            </w:pPr>
            <w:r>
              <w:rPr>
                <w:b/>
                <w:bCs/>
                <w:sz w:val="17"/>
                <w:szCs w:val="17"/>
              </w:rPr>
              <w:t xml:space="preserve">Kontroll­test­plan</w:t>
            </w:r>
          </w:p>
        </w:tc>
        <w:tc>
          <w:tcPr>
            <w:tcW w:type="dxa" w:w="5493"/>
            <w:tcMar>
              <w:top w:type="dxa" w:w="50"/>
              <w:left w:type="dxa" w:w="90"/>
              <w:bottom w:type="dxa" w:w="50"/>
              <w:right w:type="dxa" w:w="90"/>
            </w:tcMar>
            <w:vAlign w:val="top"/>
          </w:tcPr>
          <w:p>
            <w:pPr>
              <w:spacing w:after="30" w:before="0" w:line="252"/>
            </w:pPr>
            <w:r>
              <w:rPr>
                <w:b w:val="false"/>
                <w:bCs w:val="false"/>
                <w:sz w:val="17"/>
                <w:szCs w:val="17"/>
              </w:rPr>
              <w:t xml:space="preserve">Claim-Kontrollen aufnehmen: Test von Ausgestaltung und Wirksamkeit.</w:t>
            </w:r>
          </w:p>
        </w:tc>
        <w:tc>
          <w:tcPr>
            <w:tcW w:type="dxa" w:w="1254"/>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bl>
    <w:p>
      <w:pPr>
        <w:spacing w:after="120"/>
      </w:pPr>
    </w:p>
    <w:p>
      <w:pPr>
        <w:spacing w:after="120" w:before="0" w:line="276"/>
      </w:pPr>
      <w:r>
        <w:rPr>
          <w:b/>
          <w:bCs/>
        </w:rPr>
        <w:t xml:space="preserve">Wiederverwendung:</w:t>
      </w:r>
      <w:r>
        <w:t xml:space="preserve"> Das Vier-Augen-Prinzip, die Kompetenzordnung, die Protokollierung in IT-Systemen und die Testmethodik bestehen bereits. Neu sind der Prozess und seine Kontrollobjekte, nicht die Kontrolltechnik.</w:t>
      </w:r>
    </w:p>
    <w:p>
      <w:pPr>
        <w:pStyle w:val="Heading2"/>
        <w:keepNext/>
      </w:pPr>
      <w:r>
        <w:t xml:space="preserve">7.5 Beispiel: Umweltclaim auf der Website (IKS-Sicht)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1927"/>
        <w:gridCol w:w="5590"/>
        <w:gridCol w:w="2121"/>
      </w:tblGrid>
      <w:tr>
        <w:trPr>
          <w:cantSplit/>
          <w:tblHeader/>
        </w:trPr>
        <w:tc>
          <w:tcPr>
            <w:tcW w:type="dxa" w:w="1927"/>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Schritt</w:t>
            </w:r>
          </w:p>
        </w:tc>
        <w:tc>
          <w:tcPr>
            <w:tcW w:type="dxa" w:w="5590"/>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Kontrolle</w:t>
            </w:r>
          </w:p>
        </w:tc>
        <w:tc>
          <w:tcPr>
            <w:tcW w:type="dxa" w:w="2121"/>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Nachweis</w:t>
            </w:r>
          </w:p>
        </w:tc>
      </w:tr>
      <w:tr>
        <w:trPr>
          <w:cantSplit/>
        </w:trPr>
        <w:tc>
          <w:tcPr>
            <w:tcW w:type="dxa" w:w="1927"/>
            <w:tcMar>
              <w:top w:type="dxa" w:w="50"/>
              <w:left w:type="dxa" w:w="90"/>
              <w:bottom w:type="dxa" w:w="50"/>
              <w:right w:type="dxa" w:w="90"/>
            </w:tcMar>
            <w:vAlign w:val="top"/>
          </w:tcPr>
          <w:p>
            <w:pPr>
              <w:spacing w:after="30" w:before="0" w:line="252"/>
            </w:pPr>
            <w:r>
              <w:rPr>
                <w:b/>
                <w:bCs/>
                <w:sz w:val="18"/>
                <w:szCs w:val="18"/>
              </w:rPr>
              <w:t xml:space="preserve">1 Entwurf durch die Agentur</w:t>
            </w:r>
          </w:p>
        </w:tc>
        <w:tc>
          <w:tcPr>
            <w:tcW w:type="dxa" w:w="5590"/>
            <w:tcMar>
              <w:top w:type="dxa" w:w="50"/>
              <w:left w:type="dxa" w:w="90"/>
              <w:bottom w:type="dxa" w:w="50"/>
              <w:right w:type="dxa" w:w="90"/>
            </w:tcMar>
            <w:vAlign w:val="top"/>
          </w:tcPr>
          <w:p>
            <w:pPr>
              <w:spacing w:after="30" w:before="0" w:line="252"/>
            </w:pPr>
            <w:r>
              <w:rPr>
                <w:b w:val="false"/>
                <w:bCs w:val="false"/>
                <w:sz w:val="18"/>
                <w:szCs w:val="18"/>
              </w:rPr>
              <w:t xml:space="preserve">K9: Agenturvertrag mit Freigabe­vorbehalt; der Entwurf geht in den Freigabe­prozess.</w:t>
            </w:r>
          </w:p>
        </w:tc>
        <w:tc>
          <w:tcPr>
            <w:tcW w:type="dxa" w:w="2121"/>
            <w:tcMar>
              <w:top w:type="dxa" w:w="50"/>
              <w:left w:type="dxa" w:w="90"/>
              <w:bottom w:type="dxa" w:w="50"/>
              <w:right w:type="dxa" w:w="90"/>
            </w:tcMar>
            <w:vAlign w:val="top"/>
          </w:tcPr>
          <w:p>
            <w:pPr>
              <w:spacing w:after="30" w:before="0" w:line="252"/>
            </w:pPr>
            <w:r>
              <w:rPr>
                <w:b w:val="false"/>
                <w:bCs w:val="false"/>
                <w:sz w:val="18"/>
                <w:szCs w:val="18"/>
              </w:rPr>
              <w:t xml:space="preserve">Vertrag, Ticket</w:t>
            </w:r>
          </w:p>
        </w:tc>
      </w:tr>
      <w:tr>
        <w:trPr>
          <w:cantSplit/>
        </w:trPr>
        <w:tc>
          <w:tcPr>
            <w:tcW w:type="dxa" w:w="1927"/>
            <w:shd w:fill="F3F5F7" w:color="auto" w:val="clear"/>
            <w:tcMar>
              <w:top w:type="dxa" w:w="50"/>
              <w:left w:type="dxa" w:w="90"/>
              <w:bottom w:type="dxa" w:w="50"/>
              <w:right w:type="dxa" w:w="90"/>
            </w:tcMar>
            <w:vAlign w:val="top"/>
          </w:tcPr>
          <w:p>
            <w:pPr>
              <w:spacing w:after="30" w:before="0" w:line="252"/>
            </w:pPr>
            <w:r>
              <w:rPr>
                <w:b/>
                <w:bCs/>
                <w:sz w:val="18"/>
                <w:szCs w:val="18"/>
              </w:rPr>
              <w:t xml:space="preserve">2 Klassifizierung</w:t>
            </w:r>
          </w:p>
        </w:tc>
        <w:tc>
          <w:tcPr>
            <w:tcW w:type="dxa" w:w="5590"/>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K2: „umweltfreundlich“ steht auf der Negativliste; Streichung oder Spezifizierung.</w:t>
            </w:r>
          </w:p>
        </w:tc>
        <w:tc>
          <w:tcPr>
            <w:tcW w:type="dxa" w:w="2121"/>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Klassifizierungs­vermerk</w:t>
            </w:r>
          </w:p>
        </w:tc>
      </w:tr>
      <w:tr>
        <w:trPr>
          <w:cantSplit/>
        </w:trPr>
        <w:tc>
          <w:tcPr>
            <w:tcW w:type="dxa" w:w="1927"/>
            <w:tcMar>
              <w:top w:type="dxa" w:w="50"/>
              <w:left w:type="dxa" w:w="90"/>
              <w:bottom w:type="dxa" w:w="50"/>
              <w:right w:type="dxa" w:w="90"/>
            </w:tcMar>
            <w:vAlign w:val="top"/>
          </w:tcPr>
          <w:p>
            <w:pPr>
              <w:spacing w:after="30" w:before="0" w:line="252"/>
            </w:pPr>
            <w:r>
              <w:rPr>
                <w:b/>
                <w:bCs/>
                <w:sz w:val="18"/>
                <w:szCs w:val="18"/>
              </w:rPr>
              <w:t xml:space="preserve">3 Evidenz</w:t>
            </w:r>
          </w:p>
        </w:tc>
        <w:tc>
          <w:tcPr>
            <w:tcW w:type="dxa" w:w="5590"/>
            <w:tcMar>
              <w:top w:type="dxa" w:w="50"/>
              <w:left w:type="dxa" w:w="90"/>
              <w:bottom w:type="dxa" w:w="50"/>
              <w:right w:type="dxa" w:w="90"/>
            </w:tcMar>
            <w:vAlign w:val="top"/>
          </w:tcPr>
          <w:p>
            <w:pPr>
              <w:spacing w:after="30" w:before="0" w:line="252"/>
            </w:pPr>
            <w:r>
              <w:rPr>
                <w:b w:val="false"/>
                <w:bCs w:val="false"/>
                <w:sz w:val="18"/>
                <w:szCs w:val="18"/>
              </w:rPr>
              <w:t xml:space="preserve">K3: Lieferanten­zertifikat zum Rezyklatanteil gültig; Bezugsgröße (Gewichtsanteil, betroffene Verpackungsteile) und Methode geklärt; die Aussage nennt nur die Verpackung.</w:t>
            </w:r>
          </w:p>
        </w:tc>
        <w:tc>
          <w:tcPr>
            <w:tcW w:type="dxa" w:w="2121"/>
            <w:tcMar>
              <w:top w:type="dxa" w:w="50"/>
              <w:left w:type="dxa" w:w="90"/>
              <w:bottom w:type="dxa" w:w="50"/>
              <w:right w:type="dxa" w:w="90"/>
            </w:tcMar>
            <w:vAlign w:val="top"/>
          </w:tcPr>
          <w:p>
            <w:pPr>
              <w:spacing w:after="30" w:before="0" w:line="252"/>
            </w:pPr>
            <w:r>
              <w:rPr>
                <w:b w:val="false"/>
                <w:bCs w:val="false"/>
                <w:sz w:val="18"/>
                <w:szCs w:val="18"/>
              </w:rPr>
              <w:t xml:space="preserve">Dossier mit Zertifikat, Berechnung, Prüfvermerk</w:t>
            </w:r>
          </w:p>
        </w:tc>
      </w:tr>
      <w:tr>
        <w:trPr>
          <w:cantSplit/>
        </w:trPr>
        <w:tc>
          <w:tcPr>
            <w:tcW w:type="dxa" w:w="1927"/>
            <w:shd w:fill="F3F5F7" w:color="auto" w:val="clear"/>
            <w:tcMar>
              <w:top w:type="dxa" w:w="50"/>
              <w:left w:type="dxa" w:w="90"/>
              <w:bottom w:type="dxa" w:w="50"/>
              <w:right w:type="dxa" w:w="90"/>
            </w:tcMar>
            <w:vAlign w:val="top"/>
          </w:tcPr>
          <w:p>
            <w:pPr>
              <w:spacing w:after="30" w:before="0" w:line="252"/>
            </w:pPr>
            <w:r>
              <w:rPr>
                <w:b/>
                <w:bCs/>
                <w:sz w:val="18"/>
                <w:szCs w:val="18"/>
              </w:rPr>
              <w:t xml:space="preserve">4 Freigabe</w:t>
            </w:r>
          </w:p>
        </w:tc>
        <w:tc>
          <w:tcPr>
            <w:tcW w:type="dxa" w:w="5590"/>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K4: Vier-Augen-Freigabe durch Claim-Owner und Compliance; keine Selbst­freigabe.</w:t>
            </w:r>
          </w:p>
        </w:tc>
        <w:tc>
          <w:tcPr>
            <w:tcW w:type="dxa" w:w="2121"/>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Freigabelog</w:t>
            </w:r>
          </w:p>
        </w:tc>
      </w:tr>
      <w:tr>
        <w:trPr>
          <w:cantSplit/>
        </w:trPr>
        <w:tc>
          <w:tcPr>
            <w:tcW w:type="dxa" w:w="1927"/>
            <w:tcMar>
              <w:top w:type="dxa" w:w="50"/>
              <w:left w:type="dxa" w:w="90"/>
              <w:bottom w:type="dxa" w:w="50"/>
              <w:right w:type="dxa" w:w="90"/>
            </w:tcMar>
            <w:vAlign w:val="top"/>
          </w:tcPr>
          <w:p>
            <w:pPr>
              <w:spacing w:after="30" w:before="0" w:line="252"/>
            </w:pPr>
            <w:r>
              <w:rPr>
                <w:b/>
                <w:bCs/>
                <w:sz w:val="18"/>
                <w:szCs w:val="18"/>
              </w:rPr>
              <w:t xml:space="preserve">5 Veröffentlichung</w:t>
            </w:r>
          </w:p>
        </w:tc>
        <w:tc>
          <w:tcPr>
            <w:tcW w:type="dxa" w:w="5590"/>
            <w:tcMar>
              <w:top w:type="dxa" w:w="50"/>
              <w:left w:type="dxa" w:w="90"/>
              <w:bottom w:type="dxa" w:w="50"/>
              <w:right w:type="dxa" w:w="90"/>
            </w:tcMar>
            <w:vAlign w:val="top"/>
          </w:tcPr>
          <w:p>
            <w:pPr>
              <w:spacing w:after="30" w:before="0" w:line="252"/>
            </w:pPr>
            <w:r>
              <w:rPr>
                <w:b w:val="false"/>
                <w:bCs w:val="false"/>
                <w:sz w:val="18"/>
                <w:szCs w:val="18"/>
              </w:rPr>
              <w:t xml:space="preserve">K1: Das Web-CMS veröffentlicht nur mit Claim-ID.</w:t>
            </w:r>
          </w:p>
        </w:tc>
        <w:tc>
          <w:tcPr>
            <w:tcW w:type="dxa" w:w="2121"/>
            <w:tcMar>
              <w:top w:type="dxa" w:w="50"/>
              <w:left w:type="dxa" w:w="90"/>
              <w:bottom w:type="dxa" w:w="50"/>
              <w:right w:type="dxa" w:w="90"/>
            </w:tcMar>
            <w:vAlign w:val="top"/>
          </w:tcPr>
          <w:p>
            <w:pPr>
              <w:spacing w:after="30" w:before="0" w:line="252"/>
            </w:pPr>
            <w:r>
              <w:rPr>
                <w:b w:val="false"/>
                <w:bCs w:val="false"/>
                <w:sz w:val="18"/>
                <w:szCs w:val="18"/>
              </w:rPr>
              <w:t xml:space="preserve">System­protokoll, Screenshot</w:t>
            </w:r>
          </w:p>
        </w:tc>
      </w:tr>
      <w:tr>
        <w:trPr>
          <w:cantSplit/>
        </w:trPr>
        <w:tc>
          <w:tcPr>
            <w:tcW w:type="dxa" w:w="1927"/>
            <w:shd w:fill="F3F5F7" w:color="auto" w:val="clear"/>
            <w:tcMar>
              <w:top w:type="dxa" w:w="50"/>
              <w:left w:type="dxa" w:w="90"/>
              <w:bottom w:type="dxa" w:w="50"/>
              <w:right w:type="dxa" w:w="90"/>
            </w:tcMar>
            <w:vAlign w:val="top"/>
          </w:tcPr>
          <w:p>
            <w:pPr>
              <w:spacing w:after="30" w:before="0" w:line="252"/>
            </w:pPr>
            <w:r>
              <w:rPr>
                <w:b/>
                <w:bCs/>
                <w:sz w:val="18"/>
                <w:szCs w:val="18"/>
              </w:rPr>
              <w:t xml:space="preserve">6 Laufender Betrieb</w:t>
            </w:r>
          </w:p>
        </w:tc>
        <w:tc>
          <w:tcPr>
            <w:tcW w:type="dxa" w:w="5590"/>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K7: Ablaufwarnung für das Zertifikat; ein Lieferantenwechsel löst Re-Validierung aus. K8: Quartalsscan.</w:t>
            </w:r>
          </w:p>
        </w:tc>
        <w:tc>
          <w:tcPr>
            <w:tcW w:type="dxa" w:w="2121"/>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Register-Report, Scan-Bericht</w:t>
            </w:r>
          </w:p>
        </w:tc>
      </w:tr>
      <w:tr>
        <w:trPr>
          <w:cantSplit/>
        </w:trPr>
        <w:tc>
          <w:tcPr>
            <w:tcW w:type="dxa" w:w="1927"/>
            <w:tcMar>
              <w:top w:type="dxa" w:w="50"/>
              <w:left w:type="dxa" w:w="90"/>
              <w:bottom w:type="dxa" w:w="50"/>
              <w:right w:type="dxa" w:w="90"/>
            </w:tcMar>
            <w:vAlign w:val="top"/>
          </w:tcPr>
          <w:p>
            <w:pPr>
              <w:spacing w:after="30" w:before="0" w:line="252"/>
            </w:pPr>
            <w:r>
              <w:rPr>
                <w:b/>
                <w:bCs/>
                <w:sz w:val="18"/>
                <w:szCs w:val="18"/>
              </w:rPr>
              <w:t xml:space="preserve">7 Test</w:t>
            </w:r>
          </w:p>
        </w:tc>
        <w:tc>
          <w:tcPr>
            <w:tcW w:type="dxa" w:w="5590"/>
            <w:tcMar>
              <w:top w:type="dxa" w:w="50"/>
              <w:left w:type="dxa" w:w="90"/>
              <w:bottom w:type="dxa" w:w="50"/>
              <w:right w:type="dxa" w:w="90"/>
            </w:tcMar>
            <w:vAlign w:val="top"/>
          </w:tcPr>
          <w:p>
            <w:pPr>
              <w:spacing w:after="30" w:before="0" w:line="252"/>
            </w:pPr>
            <w:r>
              <w:rPr>
                <w:b w:val="false"/>
                <w:bCs w:val="false"/>
                <w:sz w:val="18"/>
                <w:szCs w:val="18"/>
              </w:rPr>
              <w:t xml:space="preserve">Stichprobe: Dossier zur Claim-ID innerhalb von 48 Stunden abrufbar </w:t>
            </w:r>
            <w:r>
              <w:rPr>
                <w:b/>
                <w:bCs/>
                <w:color w:val="5B4B8A"/>
                <w:sz w:val="16"/>
                <w:szCs w:val="16"/>
              </w:rPr>
              <w:t xml:space="preserve">[Best Practice]</w:t>
            </w:r>
            <w:r>
              <w:rPr>
                <w:b w:val="false"/>
                <w:bCs w:val="false"/>
                <w:sz w:val="18"/>
                <w:szCs w:val="18"/>
              </w:rPr>
              <w:t xml:space="preserve">.</w:t>
            </w:r>
          </w:p>
        </w:tc>
        <w:tc>
          <w:tcPr>
            <w:tcW w:type="dxa" w:w="2121"/>
            <w:tcMar>
              <w:top w:type="dxa" w:w="50"/>
              <w:left w:type="dxa" w:w="90"/>
              <w:bottom w:type="dxa" w:w="50"/>
              <w:right w:type="dxa" w:w="90"/>
            </w:tcMar>
            <w:vAlign w:val="top"/>
          </w:tcPr>
          <w:p>
            <w:pPr>
              <w:spacing w:after="30" w:before="0" w:line="252"/>
            </w:pPr>
            <w:r>
              <w:rPr>
                <w:b w:val="false"/>
                <w:bCs w:val="false"/>
                <w:sz w:val="18"/>
                <w:szCs w:val="18"/>
              </w:rPr>
              <w:t xml:space="preserve">Test­protokoll</w:t>
            </w:r>
          </w:p>
        </w:tc>
      </w:tr>
    </w:tbl>
    <w:p>
      <w:pPr>
        <w:spacing w:after="120"/>
      </w:pPr>
    </w:p>
    <w:p>
      <w:pPr>
        <w:pStyle w:val="Heading2"/>
        <w:keepNext/>
      </w:pPr>
      <w:r>
        <w:t xml:space="preserve">7.6 Abgrenzung</w:t>
      </w:r>
    </w:p>
    <w:p>
      <w:pPr>
        <w:spacing w:after="120" w:before="0" w:line="276"/>
      </w:pPr>
      <w:r>
        <w:t xml:space="preserve">Das IKS verantwortet die Kontrolle und ihren Nachweis. Es entscheidet nicht, welche Aussagen rechtlich zulässig sind (CMS mit Legal), und bewertet nicht das Gesamtrisiko (RMS). Wichtig ist die Abgrenzung zu IDW PS 982: Dessen Gegenstand ist das IKS des Berichtswesens. Claim-Kontrollen betreffen überwiegend das Compliance-Ziel des IKS im Sinne von COSO. Das Berichtswesen berühren sie nur dort, wo Nachhaltigkeitsberichte werblich genutzt oder mit Werbung abgeglichen werden </w:t>
      </w:r>
      <w:r>
        <w:rPr>
          <w:color w:val="5E6B78"/>
          <w:sz w:val="18"/>
          <w:szCs w:val="18"/>
        </w:rPr>
        <w:t xml:space="preserve">[S3][S7]</w:t>
      </w:r>
      <w:r>
        <w:t xml:space="preserve">.</w:t>
      </w:r>
    </w:p>
    <w:p>
      <w:pPr>
        <w:pStyle w:val="Heading2"/>
        <w:keepNext/>
      </w:pPr>
      <w:r>
        <w:t xml:space="preserve">7.7 Schnittstellen</w:t>
      </w:r>
    </w:p>
    <w:p>
      <w:pPr>
        <w:pStyle w:val="ListParagraph"/>
        <w:numPr>
          <w:ilvl w:val="0"/>
          <w:numId w:val="2"/>
        </w:numPr>
        <w:spacing w:after="60" w:before="0" w:line="276"/>
      </w:pPr>
      <w:r>
        <w:rPr>
          <w:b/>
          <w:bCs/>
        </w:rPr>
        <w:t xml:space="preserve">CMS:</w:t>
      </w:r>
      <w:r>
        <w:t xml:space="preserve"> Kontrollziele und Mindestkontrollen kommen aus der Claims-Richtlinie; Kontrollschwächen gehen an Compliance.</w:t>
      </w:r>
    </w:p>
    <w:p>
      <w:pPr>
        <w:pStyle w:val="ListParagraph"/>
        <w:numPr>
          <w:ilvl w:val="0"/>
          <w:numId w:val="2"/>
        </w:numPr>
        <w:spacing w:after="60" w:before="0" w:line="276"/>
      </w:pPr>
      <w:r>
        <w:rPr>
          <w:b/>
          <w:bCs/>
        </w:rPr>
        <w:t xml:space="preserve">RMS:</w:t>
      </w:r>
      <w:r>
        <w:t xml:space="preserve"> Kontrollergebnisse speisen Frühwarnindikatoren; wesentliche Schwächen werden als Risikoereignis gemeldet.</w:t>
      </w:r>
    </w:p>
    <w:p>
      <w:pPr>
        <w:pStyle w:val="ListParagraph"/>
        <w:numPr>
          <w:ilvl w:val="0"/>
          <w:numId w:val="2"/>
        </w:numPr>
        <w:spacing w:after="60" w:before="0" w:line="276"/>
      </w:pPr>
      <w:r>
        <w:rPr>
          <w:b/>
          <w:bCs/>
        </w:rPr>
        <w:t xml:space="preserve">IT und E-Commerce:</w:t>
      </w:r>
      <w:r>
        <w:t xml:space="preserve"> Web-CMS, DAM, PIM und Shop-System tragen die automatisierten Kontrollen.</w:t>
      </w:r>
    </w:p>
    <w:p>
      <w:pPr>
        <w:pStyle w:val="ListParagraph"/>
        <w:numPr>
          <w:ilvl w:val="0"/>
          <w:numId w:val="2"/>
        </w:numPr>
        <w:spacing w:after="60" w:before="0" w:line="276"/>
      </w:pPr>
      <w:r>
        <w:rPr>
          <w:b/>
          <w:bCs/>
        </w:rPr>
        <w:t xml:space="preserve">Einkauf und QM:</w:t>
      </w:r>
      <w:r>
        <w:t xml:space="preserve"> Wareneingang, Lieferantenbewertung, Änderungslenkung.</w:t>
      </w:r>
    </w:p>
    <w:p>
      <w:pPr>
        <w:pStyle w:val="ListParagraph"/>
        <w:numPr>
          <w:ilvl w:val="0"/>
          <w:numId w:val="2"/>
        </w:numPr>
        <w:spacing w:after="60" w:before="0" w:line="276"/>
      </w:pPr>
      <w:r>
        <w:rPr>
          <w:b/>
          <w:bCs/>
        </w:rPr>
        <w:t xml:space="preserve">Sustainability:</w:t>
      </w:r>
      <w:r>
        <w:t xml:space="preserve"> Datenbasis und fachliche Prüfung.</w:t>
      </w:r>
    </w:p>
    <w:p>
      <w:pPr>
        <w:pStyle w:val="ListParagraph"/>
        <w:numPr>
          <w:ilvl w:val="0"/>
          <w:numId w:val="2"/>
        </w:numPr>
        <w:spacing w:after="60" w:before="0" w:line="276"/>
      </w:pPr>
      <w:r>
        <w:rPr>
          <w:b/>
          <w:bCs/>
        </w:rPr>
        <w:t xml:space="preserve">Interne Revision oder externe Prüfung:</w:t>
      </w:r>
      <w:r>
        <w:t xml:space="preserve"> Wirksamkeitstests; bei Bedarf Prüfung eines abgegrenzten CMS-Teilbereichs „Claims“ nach IDW PS 980 </w:t>
      </w:r>
      <w:r>
        <w:rPr>
          <w:color w:val="5E6B78"/>
          <w:sz w:val="18"/>
          <w:szCs w:val="18"/>
        </w:rPr>
        <w:t xml:space="preserve">[S1]</w:t>
      </w:r>
      <w:r>
        <w:t xml:space="preserve">.</w:t>
      </w:r>
    </w:p>
    <w:p>
      <w:pPr>
        <w:spacing w:after="40"/>
      </w:pPr>
    </w:p>
    <w:p>
      <w:pPr>
        <w:pStyle w:val="Heading1"/>
        <w:keepNext/>
        <w:pageBreakBefore/>
      </w:pPr>
      <w:r>
        <w:t xml:space="preserve">8 Kritische Prüfung der vorgeschlagenen Kategorien</w:t>
      </w:r>
    </w:p>
    <w:p>
      <w:pPr>
        <w:spacing w:after="120" w:before="0" w:line="276"/>
      </w:pPr>
      <w:r>
        <w:t xml:space="preserve">Der Auftrag nennt sechs mögliche neue Kategorien. Maßstab der Prüfung: Eine Kategorie ist sinnvoll, wenn sie ein eigenständiges Risiko oder einen eigenständigen Pflichtenbereich beschreibt, sich eindeutig von bestehenden Kategorien abgrenzt und von einem System tatsächlich gesteuert werden kann. Mehrere Kategorien für denselben Sachverhalt erschweren Aggregation und Verantwortung.</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1445"/>
        <w:gridCol w:w="1638"/>
        <w:gridCol w:w="2698"/>
        <w:gridCol w:w="2409"/>
        <w:gridCol w:w="1448"/>
      </w:tblGrid>
      <w:tr>
        <w:trPr>
          <w:cantSplit/>
          <w:tblHeader/>
        </w:trPr>
        <w:tc>
          <w:tcPr>
            <w:tcW w:type="dxa" w:w="1445"/>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Vorschlag</w:t>
            </w:r>
          </w:p>
        </w:tc>
        <w:tc>
          <w:tcPr>
            <w:tcW w:type="dxa" w:w="163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Was er beschreibt</w:t>
            </w:r>
          </w:p>
        </w:tc>
        <w:tc>
          <w:tcPr>
            <w:tcW w:type="dxa" w:w="269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Bewertung</w:t>
            </w:r>
          </w:p>
        </w:tc>
        <w:tc>
          <w:tcPr>
            <w:tcW w:type="dxa" w:w="2409"/>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Empfehlung</w:t>
            </w:r>
          </w:p>
        </w:tc>
        <w:tc>
          <w:tcPr>
            <w:tcW w:type="dxa" w:w="144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System</w:t>
            </w:r>
          </w:p>
        </w:tc>
      </w:tr>
      <w:tr>
        <w:trPr>
          <w:cantSplit/>
        </w:trPr>
        <w:tc>
          <w:tcPr>
            <w:tcW w:type="dxa" w:w="1445"/>
            <w:tcMar>
              <w:top w:type="dxa" w:w="50"/>
              <w:left w:type="dxa" w:w="90"/>
              <w:bottom w:type="dxa" w:w="50"/>
              <w:right w:type="dxa" w:w="90"/>
            </w:tcMar>
            <w:vAlign w:val="top"/>
          </w:tcPr>
          <w:p>
            <w:pPr>
              <w:spacing w:after="30" w:before="0" w:line="252"/>
            </w:pPr>
            <w:r>
              <w:rPr>
                <w:b/>
                <w:bCs/>
                <w:sz w:val="17"/>
                <w:szCs w:val="17"/>
              </w:rPr>
              <w:t xml:space="preserve">EmpCo-Risk</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Risiken aus einer bestimmten Richtlinie</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Nicht empfohlen. Kategorien nach Rechtsakten veralten mit der nächsten Rechtsänderung und zerschneiden zusammengehörige Sachverhalte; Umwelt- und Haltbarkeits­aussagen laufen etwa durch denselben Prozess.</w:t>
            </w:r>
          </w:p>
        </w:tc>
        <w:tc>
          <w:tcPr>
            <w:tcW w:type="dxa" w:w="2409"/>
            <w:tcMar>
              <w:top w:type="dxa" w:w="50"/>
              <w:left w:type="dxa" w:w="90"/>
              <w:bottom w:type="dxa" w:w="50"/>
              <w:right w:type="dxa" w:w="90"/>
            </w:tcMar>
            <w:vAlign w:val="top"/>
          </w:tcPr>
          <w:p>
            <w:pPr>
              <w:spacing w:after="30" w:before="0" w:line="252"/>
            </w:pPr>
            <w:r>
              <w:rPr>
                <w:b w:val="false"/>
                <w:bCs w:val="false"/>
                <w:sz w:val="17"/>
                <w:szCs w:val="17"/>
              </w:rPr>
              <w:t xml:space="preserve">Keine Kategorie. EmpCo als Rechtsquelle im Pflichten­register führen.</w:t>
            </w:r>
          </w:p>
        </w:tc>
        <w:tc>
          <w:tcPr>
            <w:tcW w:type="dxa" w:w="1448"/>
            <w:tcMar>
              <w:top w:type="dxa" w:w="50"/>
              <w:left w:type="dxa" w:w="90"/>
              <w:bottom w:type="dxa" w:w="50"/>
              <w:right w:type="dxa" w:w="90"/>
            </w:tcMar>
            <w:vAlign w:val="top"/>
          </w:tcPr>
          <w:p>
            <w:pPr>
              <w:spacing w:after="30" w:before="0" w:line="252"/>
            </w:pPr>
            <w:r>
              <w:rPr>
                <w:b w:val="false"/>
                <w:bCs w:val="false"/>
                <w:sz w:val="17"/>
                <w:szCs w:val="17"/>
              </w:rPr>
              <w:t xml:space="preserve">CMS (Pflichten­register)</w:t>
            </w:r>
          </w:p>
        </w:tc>
      </w:tr>
      <w:tr>
        <w:trPr>
          <w:cantSplit/>
        </w:trPr>
        <w:tc>
          <w:tcPr>
            <w:tcW w:type="dxa" w:w="1445"/>
            <w:shd w:fill="F3F5F7" w:color="auto" w:val="clear"/>
            <w:tcMar>
              <w:top w:type="dxa" w:w="50"/>
              <w:left w:type="dxa" w:w="90"/>
              <w:bottom w:type="dxa" w:w="50"/>
              <w:right w:type="dxa" w:w="90"/>
            </w:tcMar>
            <w:vAlign w:val="top"/>
          </w:tcPr>
          <w:p>
            <w:pPr>
              <w:spacing w:after="30" w:before="0" w:line="252"/>
            </w:pPr>
            <w:r>
              <w:rPr>
                <w:b/>
                <w:bCs/>
                <w:sz w:val="17"/>
                <w:szCs w:val="17"/>
              </w:rPr>
              <w:t xml:space="preserve">Sustainability-Communication-Risk</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Risiken der gesamten Nachhaltigkeits­kommunikation (Werbung, Bericht, PR)</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Teilweise tragfähig. Umfasst auch die Pflicht­berichterstattung, die nicht unter EmpCo fällt, solange sie nicht absatzfördernd genutzt wird (RB Kap. 2.5) </w:t>
            </w:r>
            <w:r>
              <w:rPr>
                <w:b w:val="false"/>
                <w:bCs w:val="false"/>
                <w:color w:val="5E6B78"/>
                <w:sz w:val="14"/>
                <w:szCs w:val="14"/>
              </w:rPr>
              <w:t xml:space="preserve">[I1]</w:t>
            </w:r>
            <w:r>
              <w:rPr>
                <w:b w:val="false"/>
                <w:bCs w:val="false"/>
                <w:sz w:val="17"/>
                <w:szCs w:val="17"/>
              </w:rPr>
              <w:t xml:space="preserve">. Für eine Compliance-Kategorie zu breit, als Reputationsblick brauchbar.</w:t>
            </w:r>
          </w:p>
        </w:tc>
        <w:tc>
          <w:tcPr>
            <w:tcW w:type="dxa" w:w="240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Als Auswirkungsdimension (Reputation) im RMS, nicht als eigene Kategorie.</w:t>
            </w:r>
          </w:p>
        </w:tc>
        <w:tc>
          <w:tcPr>
            <w:tcW w:type="dxa" w:w="144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RMS</w:t>
            </w:r>
          </w:p>
        </w:tc>
      </w:tr>
      <w:tr>
        <w:trPr>
          <w:cantSplit/>
        </w:trPr>
        <w:tc>
          <w:tcPr>
            <w:tcW w:type="dxa" w:w="1445"/>
            <w:tcMar>
              <w:top w:type="dxa" w:w="50"/>
              <w:left w:type="dxa" w:w="90"/>
              <w:bottom w:type="dxa" w:w="50"/>
              <w:right w:type="dxa" w:w="90"/>
            </w:tcMar>
            <w:vAlign w:val="top"/>
          </w:tcPr>
          <w:p>
            <w:pPr>
              <w:spacing w:after="30" w:before="0" w:line="252"/>
            </w:pPr>
            <w:r>
              <w:rPr>
                <w:b/>
                <w:bCs/>
                <w:sz w:val="17"/>
                <w:szCs w:val="17"/>
              </w:rPr>
              <w:t xml:space="preserve">Green-Claim-Risk</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Risiken aus Umwelt­aussagen</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Zu eng. EmpCo erfasst auch soziale Merkmale, Siegel mit sozialen Kriterien sowie Haltbarkeit, Reparatur und Updates (A1, A3, A10).</w:t>
            </w:r>
          </w:p>
        </w:tc>
        <w:tc>
          <w:tcPr>
            <w:tcW w:type="dxa" w:w="2409"/>
            <w:tcMar>
              <w:top w:type="dxa" w:w="50"/>
              <w:left w:type="dxa" w:w="90"/>
              <w:bottom w:type="dxa" w:w="50"/>
              <w:right w:type="dxa" w:w="90"/>
            </w:tcMar>
            <w:vAlign w:val="top"/>
          </w:tcPr>
          <w:p>
            <w:pPr>
              <w:spacing w:after="30" w:before="0" w:line="252"/>
            </w:pPr>
            <w:r>
              <w:rPr>
                <w:b w:val="false"/>
                <w:bCs w:val="false"/>
                <w:sz w:val="17"/>
                <w:szCs w:val="17"/>
              </w:rPr>
              <w:t xml:space="preserve">In „Claim-Risiko (Umwelt-, Sozial- und Produkt­aussagen)“ aufgehen lassen.</w:t>
            </w:r>
          </w:p>
        </w:tc>
        <w:tc>
          <w:tcPr>
            <w:tcW w:type="dxa" w:w="1448"/>
            <w:tcMar>
              <w:top w:type="dxa" w:w="50"/>
              <w:left w:type="dxa" w:w="90"/>
              <w:bottom w:type="dxa" w:w="50"/>
              <w:right w:type="dxa" w:w="90"/>
            </w:tcMar>
            <w:vAlign w:val="top"/>
          </w:tcPr>
          <w:p>
            <w:pPr>
              <w:spacing w:after="30" w:before="0" w:line="252"/>
            </w:pPr>
            <w:r>
              <w:rPr>
                <w:b w:val="false"/>
                <w:bCs w:val="false"/>
                <w:sz w:val="17"/>
                <w:szCs w:val="17"/>
              </w:rPr>
              <w:t xml:space="preserve">RMS, CMS</w:t>
            </w:r>
          </w:p>
        </w:tc>
      </w:tr>
      <w:tr>
        <w:trPr>
          <w:cantSplit/>
        </w:trPr>
        <w:tc>
          <w:tcPr>
            <w:tcW w:type="dxa" w:w="1445"/>
            <w:shd w:fill="F3F5F7" w:color="auto" w:val="clear"/>
            <w:tcMar>
              <w:top w:type="dxa" w:w="50"/>
              <w:left w:type="dxa" w:w="90"/>
              <w:bottom w:type="dxa" w:w="50"/>
              <w:right w:type="dxa" w:w="90"/>
            </w:tcMar>
            <w:vAlign w:val="top"/>
          </w:tcPr>
          <w:p>
            <w:pPr>
              <w:spacing w:after="30" w:before="0" w:line="252"/>
            </w:pPr>
            <w:r>
              <w:rPr>
                <w:b/>
                <w:bCs/>
                <w:sz w:val="17"/>
                <w:szCs w:val="17"/>
              </w:rPr>
              <w:t xml:space="preserve">Claim Compliance</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Einhaltung der Rechtsregeln für Claims</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Sinnvoll als Compliance-Teilbereich. Deckt sich mit dem empfohlenen Risikofeld.</w:t>
            </w:r>
          </w:p>
        </w:tc>
        <w:tc>
          <w:tcPr>
            <w:tcW w:type="dxa" w:w="240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Übernehmen als CMS-Risikofeld „Umwelt-, Sozial- und Produkt­aussagen (Claims)“.</w:t>
            </w:r>
          </w:p>
        </w:tc>
        <w:tc>
          <w:tcPr>
            <w:tcW w:type="dxa" w:w="144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w:t>
            </w:r>
          </w:p>
        </w:tc>
      </w:tr>
      <w:tr>
        <w:trPr>
          <w:cantSplit/>
        </w:trPr>
        <w:tc>
          <w:tcPr>
            <w:tcW w:type="dxa" w:w="1445"/>
            <w:tcMar>
              <w:top w:type="dxa" w:w="50"/>
              <w:left w:type="dxa" w:w="90"/>
              <w:bottom w:type="dxa" w:w="50"/>
              <w:right w:type="dxa" w:w="90"/>
            </w:tcMar>
            <w:vAlign w:val="top"/>
          </w:tcPr>
          <w:p>
            <w:pPr>
              <w:spacing w:after="30" w:before="0" w:line="252"/>
            </w:pPr>
            <w:r>
              <w:rPr>
                <w:b/>
                <w:bCs/>
                <w:sz w:val="17"/>
                <w:szCs w:val="17"/>
              </w:rPr>
              <w:t xml:space="preserve">Sustainability Claim Governance</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Rollen, Regeln, Freigaben und Überwachung für Claims</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Sinnvoll, aber als Organisations­modul, nicht als Risiko­kategorie.</w:t>
            </w:r>
          </w:p>
        </w:tc>
        <w:tc>
          <w:tcPr>
            <w:tcW w:type="dxa" w:w="2409"/>
            <w:tcMar>
              <w:top w:type="dxa" w:w="50"/>
              <w:left w:type="dxa" w:w="90"/>
              <w:bottom w:type="dxa" w:w="50"/>
              <w:right w:type="dxa" w:w="90"/>
            </w:tcMar>
            <w:vAlign w:val="top"/>
          </w:tcPr>
          <w:p>
            <w:pPr>
              <w:spacing w:after="30" w:before="0" w:line="252"/>
            </w:pPr>
            <w:r>
              <w:rPr>
                <w:b w:val="false"/>
                <w:bCs w:val="false"/>
                <w:sz w:val="17"/>
                <w:szCs w:val="17"/>
              </w:rPr>
              <w:t xml:space="preserve">Übernehmen als Policy- und Organisations­modul im CMS („integriert, aber sichtbar“).</w:t>
            </w:r>
          </w:p>
        </w:tc>
        <w:tc>
          <w:tcPr>
            <w:tcW w:type="dxa" w:w="1448"/>
            <w:tcMar>
              <w:top w:type="dxa" w:w="50"/>
              <w:left w:type="dxa" w:w="90"/>
              <w:bottom w:type="dxa" w:w="50"/>
              <w:right w:type="dxa" w:w="90"/>
            </w:tcMar>
            <w:vAlign w:val="top"/>
          </w:tcPr>
          <w:p>
            <w:pPr>
              <w:spacing w:after="30" w:before="0" w:line="252"/>
            </w:pPr>
            <w:r>
              <w:rPr>
                <w:b w:val="false"/>
                <w:bCs w:val="false"/>
                <w:sz w:val="17"/>
                <w:szCs w:val="17"/>
              </w:rPr>
              <w:t xml:space="preserve">CMS (Organisation)</w:t>
            </w:r>
          </w:p>
        </w:tc>
      </w:tr>
      <w:tr>
        <w:trPr>
          <w:cantSplit/>
        </w:trPr>
        <w:tc>
          <w:tcPr>
            <w:tcW w:type="dxa" w:w="1445"/>
            <w:shd w:fill="F3F5F7" w:color="auto" w:val="clear"/>
            <w:tcMar>
              <w:top w:type="dxa" w:w="50"/>
              <w:left w:type="dxa" w:w="90"/>
              <w:bottom w:type="dxa" w:w="50"/>
              <w:right w:type="dxa" w:w="90"/>
            </w:tcMar>
            <w:vAlign w:val="top"/>
          </w:tcPr>
          <w:p>
            <w:pPr>
              <w:spacing w:after="30" w:before="0" w:line="252"/>
            </w:pPr>
            <w:r>
              <w:rPr>
                <w:b/>
                <w:bCs/>
                <w:sz w:val="17"/>
                <w:szCs w:val="17"/>
              </w:rPr>
              <w:t xml:space="preserve">Evidence Management</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Beschaffung, Prüfung, Ablage und Aktualisierung von Nachweisen</w:t>
            </w:r>
          </w:p>
        </w:tc>
        <w:tc>
          <w:tcPr>
            <w:tcW w:type="dxa" w:w="269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Kein Risiko, sondern ein Prozess mit Kontrollen.</w:t>
            </w:r>
          </w:p>
        </w:tc>
        <w:tc>
          <w:tcPr>
            <w:tcW w:type="dxa" w:w="240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Als Prozess und Kontrollbündel (K3, K5, K7, K12) im IKS; Dokumentationsvorgaben im CMS.</w:t>
            </w:r>
          </w:p>
        </w:tc>
        <w:tc>
          <w:tcPr>
            <w:tcW w:type="dxa" w:w="144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IKS (Prozess), CMS (Vorgabe)</w:t>
            </w:r>
          </w:p>
        </w:tc>
      </w:tr>
      <w:tr>
        <w:trPr>
          <w:cantSplit/>
        </w:trPr>
        <w:tc>
          <w:tcPr>
            <w:tcW w:type="dxa" w:w="1445"/>
            <w:tcMar>
              <w:top w:type="dxa" w:w="50"/>
              <w:left w:type="dxa" w:w="90"/>
              <w:bottom w:type="dxa" w:w="50"/>
              <w:right w:type="dxa" w:w="90"/>
            </w:tcMar>
            <w:vAlign w:val="top"/>
          </w:tcPr>
          <w:p>
            <w:pPr>
              <w:spacing w:after="30" w:before="0" w:line="252"/>
            </w:pPr>
            <w:r>
              <w:rPr>
                <w:b/>
                <w:bCs/>
                <w:sz w:val="17"/>
                <w:szCs w:val="17"/>
              </w:rPr>
              <w:t xml:space="preserve">Supplier Evidence Risk</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Abhängigkeit von Nachweisen der Lieferanten</w:t>
            </w:r>
          </w:p>
        </w:tc>
        <w:tc>
          <w:tcPr>
            <w:tcW w:type="dxa" w:w="2698"/>
            <w:tcMar>
              <w:top w:type="dxa" w:w="50"/>
              <w:left w:type="dxa" w:w="90"/>
              <w:bottom w:type="dxa" w:w="50"/>
              <w:right w:type="dxa" w:w="90"/>
            </w:tcMar>
            <w:vAlign w:val="top"/>
          </w:tcPr>
          <w:p>
            <w:pPr>
              <w:spacing w:after="30" w:before="0" w:line="252"/>
            </w:pPr>
            <w:r>
              <w:rPr>
                <w:b w:val="false"/>
                <w:bCs w:val="false"/>
                <w:sz w:val="17"/>
                <w:szCs w:val="17"/>
              </w:rPr>
              <w:t xml:space="preserve">Echtes Risiko, aber Ursache des Claim-Risikos und kein eigenes Risiko auf Kategorieebene. Die Rechtsprechung zeigt die Relevanz: Lieferketten-Claims brauchen Lieferantenevidenz (RB Kap. 1.6) </w:t>
            </w:r>
            <w:r>
              <w:rPr>
                <w:b w:val="false"/>
                <w:bCs w:val="false"/>
                <w:color w:val="5E6B78"/>
                <w:sz w:val="14"/>
                <w:szCs w:val="14"/>
              </w:rPr>
              <w:t xml:space="preserve">[I1]</w:t>
            </w:r>
            <w:r>
              <w:rPr>
                <w:b w:val="false"/>
                <w:bCs w:val="false"/>
                <w:sz w:val="17"/>
                <w:szCs w:val="17"/>
              </w:rPr>
              <w:t xml:space="preserve">.</w:t>
            </w:r>
          </w:p>
        </w:tc>
        <w:tc>
          <w:tcPr>
            <w:tcW w:type="dxa" w:w="2409"/>
            <w:tcMar>
              <w:top w:type="dxa" w:w="50"/>
              <w:left w:type="dxa" w:w="90"/>
              <w:bottom w:type="dxa" w:w="50"/>
              <w:right w:type="dxa" w:w="90"/>
            </w:tcMar>
            <w:vAlign w:val="top"/>
          </w:tcPr>
          <w:p>
            <w:pPr>
              <w:spacing w:after="30" w:before="0" w:line="252"/>
            </w:pPr>
            <w:r>
              <w:rPr>
                <w:b w:val="false"/>
                <w:bCs w:val="false"/>
                <w:sz w:val="17"/>
                <w:szCs w:val="17"/>
              </w:rPr>
              <w:t xml:space="preserve">Als Treiber im Claim-Risiko und als Kriterium im Lieferanten­risiko­management; Vertragsklauseln im CMS; Wareneingangs­kontrolle im IKS.</w:t>
            </w:r>
          </w:p>
        </w:tc>
        <w:tc>
          <w:tcPr>
            <w:tcW w:type="dxa" w:w="1448"/>
            <w:tcMar>
              <w:top w:type="dxa" w:w="50"/>
              <w:left w:type="dxa" w:w="90"/>
              <w:bottom w:type="dxa" w:w="50"/>
              <w:right w:type="dxa" w:w="90"/>
            </w:tcMar>
            <w:vAlign w:val="top"/>
          </w:tcPr>
          <w:p>
            <w:pPr>
              <w:spacing w:after="30" w:before="0" w:line="252"/>
            </w:pPr>
            <w:r>
              <w:rPr>
                <w:b w:val="false"/>
                <w:bCs w:val="false"/>
                <w:sz w:val="17"/>
                <w:szCs w:val="17"/>
              </w:rPr>
              <w:t xml:space="preserve">RMS (Treiber), CMS, IKS</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F6F63" w:sz="24"/>
              <w:bottom w:val="none" w:color="FFFFFF" w:sz="0"/>
              <w:right w:val="none" w:color="FFFFFF" w:sz="0"/>
            </w:tcBorders>
            <w:shd w:fill="E4F1EE" w:color="auto" w:val="clear"/>
            <w:tcMar>
              <w:top w:type="dxa" w:w="140"/>
              <w:left w:type="dxa" w:w="220"/>
              <w:bottom w:type="dxa" w:w="140"/>
              <w:right w:type="dxa" w:w="220"/>
            </w:tcMar>
          </w:tcPr>
          <w:p>
            <w:pPr>
              <w:keepNext/>
              <w:spacing w:after="60"/>
            </w:pPr>
            <w:r>
              <w:rPr>
                <w:b/>
                <w:bCs/>
                <w:color w:val="1F6F63"/>
              </w:rPr>
              <w:t xml:space="preserve">Ergebnis</w:t>
            </w:r>
          </w:p>
          <w:p>
            <w:pPr>
              <w:spacing w:after="80" w:before="0" w:line="276"/>
            </w:pPr>
            <w:r>
              <w:t xml:space="preserve">Statt sechs neuer Kategorien genügt </w:t>
            </w:r>
            <w:r>
              <w:rPr>
                <w:b/>
                <w:bCs/>
              </w:rPr>
              <w:t xml:space="preserve">eine</w:t>
            </w:r>
            <w:r>
              <w:t xml:space="preserve"> neue Risikokategorie „Umwelt-, Sozial- und Produktaussagen (Claims)“. Im CMS ist sie Risikofeld, im RMS Unterkategorie des Rechts- und Compliance-Risikos mit Auswirkung auf die Reputation. Dazu kommen </w:t>
            </w:r>
            <w:r>
              <w:rPr>
                <w:b/>
                <w:bCs/>
              </w:rPr>
              <w:t xml:space="preserve">ein</w:t>
            </w:r>
            <w:r>
              <w:t xml:space="preserve"> Organisationsmodul (Claim Governance), </w:t>
            </w:r>
            <w:r>
              <w:rPr>
                <w:b/>
                <w:bCs/>
              </w:rPr>
              <w:t xml:space="preserve">ein</w:t>
            </w:r>
            <w:r>
              <w:t xml:space="preserve"> Prozess (Evidenzmanagement) und </w:t>
            </w:r>
            <w:r>
              <w:rPr>
                <w:b/>
                <w:bCs/>
              </w:rPr>
              <w:t xml:space="preserve">ein</w:t>
            </w:r>
            <w:r>
              <w:t xml:space="preserve"> Treiber (Lieferantennachweise).</w:t>
            </w:r>
          </w:p>
          <w:p>
            <w:pPr>
              <w:spacing w:after="0" w:before="0" w:line="276"/>
            </w:pPr>
            <w:r>
              <w:t xml:space="preserve">Die Bezeichnung ist bewusst technologie- und rechtsaktneutral. So trägt sie auch künftige Anforderungen, etwa weitere EU-Vorgaben oder Aussagen zu KI, Gesundheit oder Herkunft (RB Kap. 11.8) </w:t>
            </w:r>
            <w:r>
              <w:rPr>
                <w:color w:val="5E6B78"/>
                <w:sz w:val="18"/>
                <w:szCs w:val="18"/>
              </w:rPr>
              <w:t xml:space="preserve">[I1]</w:t>
            </w:r>
            <w:r>
              <w:t xml:space="preserve">. Einen Präzedenzfall gibt es: Der DICO-Risikokatalog 2024 ordnet Greenwashing dem Feld „Sustainability Compliance“ zu </w:t>
            </w:r>
            <w:r>
              <w:rPr>
                <w:color w:val="5E6B78"/>
                <w:sz w:val="18"/>
                <w:szCs w:val="18"/>
              </w:rPr>
              <w:t xml:space="preserve">[S11]</w:t>
            </w:r>
            <w:r>
              <w:t xml:space="preserve">.</w:t>
            </w:r>
          </w:p>
        </w:tc>
      </w:tr>
    </w:tbl>
    <w:p>
      <w:pPr>
        <w:spacing w:after="120"/>
      </w:pPr>
    </w:p>
    <w:p>
      <w:pPr>
        <w:pStyle w:val="Heading3"/>
        <w:keepNext/>
      </w:pPr>
      <w:r>
        <w:t xml:space="preserve">Warum überhaupt eine eigene Kategorie?</w:t>
      </w:r>
    </w:p>
    <w:p>
      <w:pPr>
        <w:spacing w:after="120" w:before="0" w:line="276"/>
      </w:pPr>
      <w:r>
        <w:t xml:space="preserve">Man könnte Claims unter dem bestehenden Feld „Lauterkeitsrecht/Werbung“ führen. Dagegen sprechen drei Gründe: (1) Das Risiko entsteht verteilt und braucht eine eigene Verantwortung. (2) Die Evidenz stammt aus Bereichen, die mit Werberecht bisher nichts zu tun hatten: Einkauf, Sustainability, Produktentwicklung. (3) Die Nachweislogik mit Dossier und Gültigkeit unterscheidet sich von der klassischen Werberechtsprüfung. Wo das CMS schlank ist, genügt eine Unterkategorie unter dem Lauterkeitsrecht mit ausdrücklich benanntem Owner </w:t>
      </w:r>
      <w:r>
        <w:rPr>
          <w:b/>
          <w:bCs/>
          <w:color w:val="1F6F63"/>
          <w:sz w:val="19"/>
          <w:szCs w:val="19"/>
        </w:rPr>
        <w:t xml:space="preserve">[Organisation]</w:t>
      </w:r>
      <w:r>
        <w:t xml:space="preserve">.</w:t>
      </w:r>
    </w:p>
    <w:p>
      <w:pPr>
        <w:spacing w:after="120" w:before="0" w:line="276"/>
      </w:pPr>
      <w:r>
        <w:rPr>
          <w:b/>
          <w:bCs/>
        </w:rPr>
        <w:t xml:space="preserve">Praxisstimmen:</w:t>
      </w:r>
      <w:r>
        <w:t xml:space="preserve"> EY ordnet Greenwashing mit EmpCo vom Reputations- zum Compliance-Risiko um </w:t>
      </w:r>
      <w:r>
        <w:rPr>
          <w:color w:val="5E6B78"/>
          <w:sz w:val="18"/>
          <w:szCs w:val="18"/>
        </w:rPr>
        <w:t xml:space="preserve">[L1]</w:t>
      </w:r>
      <w:r>
        <w:t xml:space="preserve">. Forvis Mazars spricht von einer neuen Risikokategorie in Compliance- und Risikomanagement </w:t>
      </w:r>
      <w:r>
        <w:rPr>
          <w:color w:val="5E6B78"/>
          <w:sz w:val="18"/>
          <w:szCs w:val="18"/>
        </w:rPr>
        <w:t xml:space="preserve">[L2]</w:t>
      </w:r>
      <w:r>
        <w:t xml:space="preserve">. PwC beschreibt Green Claims als Belastungstest für die Governance </w:t>
      </w:r>
      <w:r>
        <w:rPr>
          <w:color w:val="5E6B78"/>
          <w:sz w:val="18"/>
          <w:szCs w:val="18"/>
        </w:rPr>
        <w:t xml:space="preserve">[L3]</w:t>
      </w:r>
      <w:r>
        <w:t xml:space="preserve">. Grant Thornton Österreich empfiehlt, bestehende Compliance-Prozesse zu stärken, statt neue aufzubauen </w:t>
      </w:r>
      <w:r>
        <w:rPr>
          <w:color w:val="5E6B78"/>
          <w:sz w:val="18"/>
          <w:szCs w:val="18"/>
        </w:rPr>
        <w:t xml:space="preserve">[L5]</w:t>
      </w:r>
      <w:r>
        <w:t xml:space="preserve">. Die Empfehlung dieses Dokuments steht im Einklang damit: eine Kategorie, integriert in bestehende Systeme.</w:t>
      </w:r>
    </w:p>
    <w:p>
      <w:pPr>
        <w:pStyle w:val="Heading1"/>
        <w:keepNext/>
        <w:pageBreakBefore/>
      </w:pPr>
      <w:r>
        <w:t xml:space="preserve">9 Neu aufnehmen oder anpassen: Übersicht nach Gestaltungsdimensionen</w:t>
      </w:r>
    </w:p>
    <w:p>
      <w:pPr>
        <w:spacing w:after="120" w:before="0" w:line="276"/>
      </w:pPr>
      <w:r>
        <w:t xml:space="preserve">Die Übersicht trennt, wie im Auftrag vorgesehen, </w:t>
      </w:r>
      <w:r>
        <w:rPr>
          <w:b/>
          <w:bCs/>
        </w:rPr>
        <w:t xml:space="preserve">(A)</w:t>
      </w:r>
      <w:r>
        <w:t xml:space="preserve"> neu aufzunehmende Elemente von </w:t>
      </w:r>
      <w:r>
        <w:rPr>
          <w:b/>
          <w:bCs/>
        </w:rPr>
        <w:t xml:space="preserve">(B)</w:t>
      </w:r>
      <w:r>
        <w:t xml:space="preserve"> anzupassenden bestehenden Elementen. Sie fasst die Kapitel 5 bis 8 systemübergreifend zusammen.</w:t>
      </w:r>
    </w:p>
    <w:p>
      <w:pPr>
        <w:pStyle w:val="Heading2"/>
        <w:keepNext/>
      </w:pPr>
      <w:r>
        <w:t xml:space="preserve">9.1 A – Neu aufzunehmen</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1542"/>
        <w:gridCol w:w="5011"/>
        <w:gridCol w:w="1542"/>
        <w:gridCol w:w="1543"/>
      </w:tblGrid>
      <w:tr>
        <w:trPr>
          <w:cantSplit/>
          <w:tblHeader/>
        </w:trPr>
        <w:tc>
          <w:tcPr>
            <w:tcW w:type="dxa" w:w="154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Dimension</w:t>
            </w:r>
          </w:p>
        </w:tc>
        <w:tc>
          <w:tcPr>
            <w:tcW w:type="dxa" w:w="5011"/>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Neues Element</w:t>
            </w:r>
          </w:p>
        </w:tc>
        <w:tc>
          <w:tcPr>
            <w:tcW w:type="dxa" w:w="154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System</w:t>
            </w:r>
          </w:p>
        </w:tc>
        <w:tc>
          <w:tcPr>
            <w:tcW w:type="dxa" w:w="154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Kennz.</w:t>
            </w:r>
          </w:p>
        </w:tc>
      </w:tr>
      <w:tr>
        <w:trPr>
          <w:cantSplit/>
        </w:trPr>
        <w:tc>
          <w:tcPr>
            <w:tcW w:type="dxa" w:w="1542"/>
            <w:tcMar>
              <w:top w:type="dxa" w:w="50"/>
              <w:left w:type="dxa" w:w="90"/>
              <w:bottom w:type="dxa" w:w="50"/>
              <w:right w:type="dxa" w:w="90"/>
            </w:tcMar>
            <w:vAlign w:val="top"/>
          </w:tcPr>
          <w:p>
            <w:pPr>
              <w:spacing w:after="30" w:before="0" w:line="252"/>
            </w:pPr>
            <w:r>
              <w:rPr>
                <w:b/>
                <w:bCs/>
                <w:sz w:val="17"/>
                <w:szCs w:val="17"/>
              </w:rPr>
              <w:t xml:space="preserve">Kategorien</w:t>
            </w:r>
          </w:p>
        </w:tc>
        <w:tc>
          <w:tcPr>
            <w:tcW w:type="dxa" w:w="5011"/>
            <w:tcMar>
              <w:top w:type="dxa" w:w="50"/>
              <w:left w:type="dxa" w:w="90"/>
              <w:bottom w:type="dxa" w:w="50"/>
              <w:right w:type="dxa" w:w="90"/>
            </w:tcMar>
            <w:vAlign w:val="top"/>
          </w:tcPr>
          <w:p>
            <w:pPr>
              <w:spacing w:after="30" w:before="0" w:line="252"/>
            </w:pPr>
            <w:r>
              <w:rPr>
                <w:b w:val="false"/>
                <w:bCs w:val="false"/>
                <w:sz w:val="17"/>
                <w:szCs w:val="17"/>
              </w:rPr>
              <w:t xml:space="preserve">Risiko­kategorie „Umwelt-, Sozial- und Produkt­aussagen (Claims)“</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CMS (Risikofeld), RMS (Unter­kategorie)</w:t>
            </w:r>
          </w:p>
        </w:tc>
        <w:tc>
          <w:tcPr>
            <w:tcW w:type="dxa" w:w="1543"/>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542"/>
            <w:shd w:fill="F3F5F7" w:color="auto" w:val="clear"/>
            <w:tcMar>
              <w:top w:type="dxa" w:w="50"/>
              <w:left w:type="dxa" w:w="90"/>
              <w:bottom w:type="dxa" w:w="50"/>
              <w:right w:type="dxa" w:w="90"/>
            </w:tcMar>
            <w:vAlign w:val="top"/>
          </w:tcPr>
          <w:p>
            <w:pPr>
              <w:spacing w:after="30" w:before="0" w:line="252"/>
            </w:pPr>
            <w:r>
              <w:rPr>
                <w:b/>
                <w:bCs/>
                <w:sz w:val="17"/>
                <w:szCs w:val="17"/>
              </w:rPr>
              <w:t xml:space="preserve">Prozesse</w:t>
            </w:r>
          </w:p>
        </w:tc>
        <w:tc>
          <w:tcPr>
            <w:tcW w:type="dxa" w:w="501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Claim-Lebenszyklus: Erfassung, Klassifizierung, Evidenz, Freigabe, Veröffentlichung, Monitoring, Rücknahme. Sonder­prozesse für Zukunfts­aussagen und Siegel.</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IKS (Prozess), CMS (Vorgabe)</w:t>
            </w:r>
          </w:p>
        </w:tc>
        <w:tc>
          <w:tcPr>
            <w:tcW w:type="dxa" w:w="1543"/>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Sonder­prozesse </w:t>
            </w:r>
            <w:r>
              <w:rPr>
                <w:b/>
                <w:bCs/>
                <w:color w:val="B04A16"/>
                <w:sz w:val="15"/>
                <w:szCs w:val="15"/>
              </w:rPr>
              <w:t xml:space="preserve">[Pflicht]</w:t>
            </w:r>
            <w:r>
              <w:rPr>
                <w:b w:val="false"/>
                <w:bCs w:val="false"/>
                <w:sz w:val="17"/>
                <w:szCs w:val="17"/>
              </w:rPr>
              <w:t xml:space="preserve"> (bedingt)</w:t>
            </w:r>
          </w:p>
        </w:tc>
      </w:tr>
      <w:tr>
        <w:trPr>
          <w:cantSplit/>
        </w:trPr>
        <w:tc>
          <w:tcPr>
            <w:tcW w:type="dxa" w:w="1542"/>
            <w:tcMar>
              <w:top w:type="dxa" w:w="50"/>
              <w:left w:type="dxa" w:w="90"/>
              <w:bottom w:type="dxa" w:w="50"/>
              <w:right w:type="dxa" w:w="90"/>
            </w:tcMar>
            <w:vAlign w:val="top"/>
          </w:tcPr>
          <w:p>
            <w:pPr>
              <w:spacing w:after="30" w:before="0" w:line="252"/>
            </w:pPr>
            <w:r>
              <w:rPr>
                <w:b/>
                <w:bCs/>
                <w:sz w:val="17"/>
                <w:szCs w:val="17"/>
              </w:rPr>
              <w:t xml:space="preserve">Verantwortlichkeiten</w:t>
            </w:r>
          </w:p>
        </w:tc>
        <w:tc>
          <w:tcPr>
            <w:tcW w:type="dxa" w:w="5011"/>
            <w:tcMar>
              <w:top w:type="dxa" w:w="50"/>
              <w:left w:type="dxa" w:w="90"/>
              <w:bottom w:type="dxa" w:w="50"/>
              <w:right w:type="dxa" w:w="90"/>
            </w:tcMar>
            <w:vAlign w:val="top"/>
          </w:tcPr>
          <w:p>
            <w:pPr>
              <w:spacing w:after="30" w:before="0" w:line="252"/>
            </w:pPr>
            <w:r>
              <w:rPr>
                <w:b w:val="false"/>
                <w:bCs w:val="false"/>
                <w:sz w:val="17"/>
                <w:szCs w:val="17"/>
              </w:rPr>
              <w:t xml:space="preserve">Claim-Governance-Owner; fachlicher Owner je Claim; Freigabeinstanzen nach Risikoklasse; Risk Owner.</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CMS, RMS</w:t>
            </w:r>
          </w:p>
        </w:tc>
        <w:tc>
          <w:tcPr>
            <w:tcW w:type="dxa" w:w="1543"/>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542"/>
            <w:shd w:fill="F3F5F7" w:color="auto" w:val="clear"/>
            <w:tcMar>
              <w:top w:type="dxa" w:w="50"/>
              <w:left w:type="dxa" w:w="90"/>
              <w:bottom w:type="dxa" w:w="50"/>
              <w:right w:type="dxa" w:w="90"/>
            </w:tcMar>
            <w:vAlign w:val="top"/>
          </w:tcPr>
          <w:p>
            <w:pPr>
              <w:spacing w:after="30" w:before="0" w:line="252"/>
            </w:pPr>
            <w:r>
              <w:rPr>
                <w:b/>
                <w:bCs/>
                <w:sz w:val="17"/>
                <w:szCs w:val="17"/>
              </w:rPr>
              <w:t xml:space="preserve">Kontrollen</w:t>
            </w:r>
          </w:p>
        </w:tc>
        <w:tc>
          <w:tcPr>
            <w:tcW w:type="dxa" w:w="501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K1–K12 (Kapitel 7.3).</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IKS</w:t>
            </w:r>
          </w:p>
        </w:tc>
        <w:tc>
          <w:tcPr>
            <w:tcW w:type="dxa" w:w="1543"/>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K6 und K10 dienen unmittelbar </w:t>
            </w:r>
            <w:r>
              <w:rPr>
                <w:b/>
                <w:bCs/>
                <w:color w:val="B04A16"/>
                <w:sz w:val="15"/>
                <w:szCs w:val="15"/>
              </w:rPr>
              <w:t xml:space="preserve">[Pflicht]</w:t>
            </w:r>
          </w:p>
        </w:tc>
      </w:tr>
      <w:tr>
        <w:trPr>
          <w:cantSplit/>
        </w:trPr>
        <w:tc>
          <w:tcPr>
            <w:tcW w:type="dxa" w:w="1542"/>
            <w:tcMar>
              <w:top w:type="dxa" w:w="50"/>
              <w:left w:type="dxa" w:w="90"/>
              <w:bottom w:type="dxa" w:w="50"/>
              <w:right w:type="dxa" w:w="90"/>
            </w:tcMar>
            <w:vAlign w:val="top"/>
          </w:tcPr>
          <w:p>
            <w:pPr>
              <w:spacing w:after="30" w:before="0" w:line="252"/>
            </w:pPr>
            <w:r>
              <w:rPr>
                <w:b/>
                <w:bCs/>
                <w:sz w:val="17"/>
                <w:szCs w:val="17"/>
              </w:rPr>
              <w:t xml:space="preserve">Dokumentationen</w:t>
            </w:r>
          </w:p>
        </w:tc>
        <w:tc>
          <w:tcPr>
            <w:tcW w:type="dxa" w:w="5011"/>
            <w:tcMar>
              <w:top w:type="dxa" w:w="50"/>
              <w:left w:type="dxa" w:w="90"/>
              <w:bottom w:type="dxa" w:w="50"/>
              <w:right w:type="dxa" w:w="90"/>
            </w:tcMar>
            <w:vAlign w:val="top"/>
          </w:tcPr>
          <w:p>
            <w:pPr>
              <w:spacing w:after="30" w:before="0" w:line="252"/>
            </w:pPr>
            <w:r>
              <w:rPr>
                <w:b w:val="false"/>
                <w:bCs w:val="false"/>
                <w:sz w:val="17"/>
                <w:szCs w:val="17"/>
              </w:rPr>
              <w:t xml:space="preserve">Claim-Register; Evidenz­dossier je Claim; Label-Register; bei Zukunfts­aussagen Umsetzungs­plan und Prüfvermerk; Altbestands­plan.</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CMS, IKS</w:t>
            </w:r>
          </w:p>
        </w:tc>
        <w:tc>
          <w:tcPr>
            <w:tcW w:type="dxa" w:w="1543"/>
            <w:tcMar>
              <w:top w:type="dxa" w:w="50"/>
              <w:left w:type="dxa" w:w="90"/>
              <w:bottom w:type="dxa" w:w="50"/>
              <w:right w:type="dxa" w:w="90"/>
            </w:tcMar>
            <w:vAlign w:val="top"/>
          </w:tcPr>
          <w:p>
            <w:pPr>
              <w:spacing w:after="30" w:before="0" w:line="252"/>
            </w:pPr>
            <w:r>
              <w:rPr>
                <w:b w:val="false"/>
                <w:bCs w:val="false"/>
                <w:sz w:val="17"/>
                <w:szCs w:val="17"/>
              </w:rPr>
              <w:t xml:space="preserve">Register, Dossier </w:t>
            </w:r>
            <w:r>
              <w:rPr>
                <w:b/>
                <w:bCs/>
                <w:color w:val="1F6F63"/>
                <w:sz w:val="15"/>
                <w:szCs w:val="15"/>
              </w:rPr>
              <w:t xml:space="preserve">[Organisation]</w:t>
            </w:r>
            <w:r>
              <w:rPr>
                <w:b w:val="false"/>
                <w:bCs w:val="false"/>
                <w:sz w:val="17"/>
                <w:szCs w:val="17"/>
              </w:rPr>
              <w:t xml:space="preserve">; Plan und Prüfvermerk </w:t>
            </w:r>
            <w:r>
              <w:rPr>
                <w:b/>
                <w:bCs/>
                <w:color w:val="B04A16"/>
                <w:sz w:val="15"/>
                <w:szCs w:val="15"/>
              </w:rPr>
              <w:t xml:space="preserve">[Pflicht]</w:t>
            </w:r>
            <w:r>
              <w:rPr>
                <w:b w:val="false"/>
                <w:bCs w:val="false"/>
                <w:sz w:val="17"/>
                <w:szCs w:val="17"/>
              </w:rPr>
              <w:t xml:space="preserve"> (bedingt)</w:t>
            </w:r>
          </w:p>
        </w:tc>
      </w:tr>
      <w:tr>
        <w:trPr>
          <w:cantSplit/>
        </w:trPr>
        <w:tc>
          <w:tcPr>
            <w:tcW w:type="dxa" w:w="1542"/>
            <w:shd w:fill="F3F5F7" w:color="auto" w:val="clear"/>
            <w:tcMar>
              <w:top w:type="dxa" w:w="50"/>
              <w:left w:type="dxa" w:w="90"/>
              <w:bottom w:type="dxa" w:w="50"/>
              <w:right w:type="dxa" w:w="90"/>
            </w:tcMar>
            <w:vAlign w:val="top"/>
          </w:tcPr>
          <w:p>
            <w:pPr>
              <w:spacing w:after="30" w:before="0" w:line="252"/>
            </w:pPr>
            <w:r>
              <w:rPr>
                <w:b/>
                <w:bCs/>
                <w:sz w:val="17"/>
                <w:szCs w:val="17"/>
              </w:rPr>
              <w:t xml:space="preserve">Kennzahlen</w:t>
            </w:r>
          </w:p>
        </w:tc>
        <w:tc>
          <w:tcPr>
            <w:tcW w:type="dxa" w:w="501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Dossier-Vollständigkeit, abgelaufene Evidenz, ungeplante Funde, Beanstandungen, Durchlaufzeit der Freigabe, Status der Altbestände.</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RMS (KRI), CMS (KPI)</w:t>
            </w:r>
          </w:p>
        </w:tc>
        <w:tc>
          <w:tcPr>
            <w:tcW w:type="dxa" w:w="1543"/>
            <w:shd w:fill="F3F5F7" w:color="auto" w:val="clear"/>
            <w:tcMar>
              <w:top w:type="dxa" w:w="50"/>
              <w:left w:type="dxa" w:w="90"/>
              <w:bottom w:type="dxa" w:w="50"/>
              <w:right w:type="dxa" w:w="90"/>
            </w:tcMar>
            <w:vAlign w:val="top"/>
          </w:tcPr>
          <w:p>
            <w:pPr>
              <w:spacing w:after="30" w:before="0" w:line="252"/>
            </w:pPr>
            <w:r>
              <w:rPr>
                <w:b/>
                <w:bCs/>
                <w:color w:val="5B4B8A"/>
                <w:sz w:val="15"/>
                <w:szCs w:val="15"/>
              </w:rPr>
              <w:t xml:space="preserve">[Best Practice]</w:t>
            </w:r>
          </w:p>
        </w:tc>
      </w:tr>
      <w:tr>
        <w:trPr>
          <w:cantSplit/>
        </w:trPr>
        <w:tc>
          <w:tcPr>
            <w:tcW w:type="dxa" w:w="1542"/>
            <w:tcMar>
              <w:top w:type="dxa" w:w="50"/>
              <w:left w:type="dxa" w:w="90"/>
              <w:bottom w:type="dxa" w:w="50"/>
              <w:right w:type="dxa" w:w="90"/>
            </w:tcMar>
            <w:vAlign w:val="top"/>
          </w:tcPr>
          <w:p>
            <w:pPr>
              <w:spacing w:after="30" w:before="0" w:line="252"/>
            </w:pPr>
            <w:r>
              <w:rPr>
                <w:b/>
                <w:bCs/>
                <w:sz w:val="17"/>
                <w:szCs w:val="17"/>
              </w:rPr>
              <w:t xml:space="preserve">Schulung</w:t>
            </w:r>
          </w:p>
        </w:tc>
        <w:tc>
          <w:tcPr>
            <w:tcW w:type="dxa" w:w="5011"/>
            <w:tcMar>
              <w:top w:type="dxa" w:w="50"/>
              <w:left w:type="dxa" w:w="90"/>
              <w:bottom w:type="dxa" w:w="50"/>
              <w:right w:type="dxa" w:w="90"/>
            </w:tcMar>
            <w:vAlign w:val="top"/>
          </w:tcPr>
          <w:p>
            <w:pPr>
              <w:spacing w:after="30" w:before="0" w:line="252"/>
            </w:pPr>
            <w:r>
              <w:rPr>
                <w:b w:val="false"/>
                <w:bCs w:val="false"/>
                <w:sz w:val="17"/>
                <w:szCs w:val="17"/>
              </w:rPr>
              <w:t xml:space="preserve">Modul Claims für Marketing, Vertrieb und Service, Produkt und Geschäfts­leitung; einseitige Kurzregel für den Vertrieb.</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CMS</w:t>
            </w:r>
          </w:p>
        </w:tc>
        <w:tc>
          <w:tcPr>
            <w:tcW w:type="dxa" w:w="1543"/>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542"/>
            <w:shd w:fill="F3F5F7" w:color="auto" w:val="clear"/>
            <w:tcMar>
              <w:top w:type="dxa" w:w="50"/>
              <w:left w:type="dxa" w:w="90"/>
              <w:bottom w:type="dxa" w:w="50"/>
              <w:right w:type="dxa" w:w="90"/>
            </w:tcMar>
            <w:vAlign w:val="top"/>
          </w:tcPr>
          <w:p>
            <w:pPr>
              <w:spacing w:after="30" w:before="0" w:line="252"/>
            </w:pPr>
            <w:r>
              <w:rPr>
                <w:b/>
                <w:bCs/>
                <w:sz w:val="17"/>
                <w:szCs w:val="17"/>
              </w:rPr>
              <w:t xml:space="preserve">Governance</w:t>
            </w:r>
          </w:p>
        </w:tc>
        <w:tc>
          <w:tcPr>
            <w:tcW w:type="dxa" w:w="5011"/>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Beschluss der Geschäfts­leitung zur Claims-Richtlinie; Risiko­appetit für Claims; bei Bedarf Claims Committee.</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 RMS</w:t>
            </w:r>
          </w:p>
        </w:tc>
        <w:tc>
          <w:tcPr>
            <w:tcW w:type="dxa" w:w="1543"/>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Committee </w:t>
            </w:r>
            <w:r>
              <w:rPr>
                <w:b/>
                <w:bCs/>
                <w:color w:val="5B4B8A"/>
                <w:sz w:val="15"/>
                <w:szCs w:val="15"/>
              </w:rPr>
              <w:t xml:space="preserve">[Best Practice]</w:t>
            </w:r>
          </w:p>
        </w:tc>
      </w:tr>
    </w:tbl>
    <w:p>
      <w:pPr>
        <w:spacing w:after="120"/>
      </w:pPr>
    </w:p>
    <w:p>
      <w:pPr>
        <w:pStyle w:val="Heading2"/>
        <w:keepNext/>
      </w:pPr>
      <w:r>
        <w:t xml:space="preserve">9.2 B – Anzupassen</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1734"/>
        <w:gridCol w:w="5204"/>
        <w:gridCol w:w="1349"/>
        <w:gridCol w:w="1351"/>
      </w:tblGrid>
      <w:tr>
        <w:trPr>
          <w:cantSplit/>
          <w:tblHeader/>
        </w:trPr>
        <w:tc>
          <w:tcPr>
            <w:tcW w:type="dxa" w:w="1734"/>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Bestehendes Element</w:t>
            </w:r>
          </w:p>
        </w:tc>
        <w:tc>
          <w:tcPr>
            <w:tcW w:type="dxa" w:w="5204"/>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Anpassung</w:t>
            </w:r>
          </w:p>
        </w:tc>
        <w:tc>
          <w:tcPr>
            <w:tcW w:type="dxa" w:w="1349"/>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System</w:t>
            </w:r>
          </w:p>
        </w:tc>
        <w:tc>
          <w:tcPr>
            <w:tcW w:type="dxa" w:w="1351"/>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Kennz.</w:t>
            </w:r>
          </w:p>
        </w:tc>
      </w:tr>
      <w:tr>
        <w:trPr>
          <w:cantSplit/>
        </w:trPr>
        <w:tc>
          <w:tcPr>
            <w:tcW w:type="dxa" w:w="1734"/>
            <w:tcMar>
              <w:top w:type="dxa" w:w="50"/>
              <w:left w:type="dxa" w:w="90"/>
              <w:bottom w:type="dxa" w:w="50"/>
              <w:right w:type="dxa" w:w="90"/>
            </w:tcMar>
            <w:vAlign w:val="top"/>
          </w:tcPr>
          <w:p>
            <w:pPr>
              <w:spacing w:after="30" w:before="0" w:line="252"/>
            </w:pPr>
            <w:r>
              <w:rPr>
                <w:b/>
                <w:bCs/>
                <w:sz w:val="17"/>
                <w:szCs w:val="17"/>
              </w:rPr>
              <w:t xml:space="preserve">Risiko­kategorien</w:t>
            </w:r>
          </w:p>
        </w:tc>
        <w:tc>
          <w:tcPr>
            <w:tcW w:type="dxa" w:w="5204"/>
            <w:tcMar>
              <w:top w:type="dxa" w:w="50"/>
              <w:left w:type="dxa" w:w="90"/>
              <w:bottom w:type="dxa" w:w="50"/>
              <w:right w:type="dxa" w:w="90"/>
            </w:tcMar>
            <w:vAlign w:val="top"/>
          </w:tcPr>
          <w:p>
            <w:pPr>
              <w:spacing w:after="30" w:before="0" w:line="252"/>
            </w:pPr>
            <w:r>
              <w:rPr>
                <w:b w:val="false"/>
                <w:bCs w:val="false"/>
                <w:sz w:val="17"/>
                <w:szCs w:val="17"/>
              </w:rPr>
              <w:t xml:space="preserve">Unter­kategorie ergänzen; Treiber und Bewertungskriterien erweitern.</w:t>
            </w:r>
          </w:p>
        </w:tc>
        <w:tc>
          <w:tcPr>
            <w:tcW w:type="dxa" w:w="1349"/>
            <w:tcMar>
              <w:top w:type="dxa" w:w="50"/>
              <w:left w:type="dxa" w:w="90"/>
              <w:bottom w:type="dxa" w:w="50"/>
              <w:right w:type="dxa" w:w="90"/>
            </w:tcMar>
            <w:vAlign w:val="top"/>
          </w:tcPr>
          <w:p>
            <w:pPr>
              <w:spacing w:after="30" w:before="0" w:line="252"/>
            </w:pPr>
            <w:r>
              <w:rPr>
                <w:b w:val="false"/>
                <w:bCs w:val="false"/>
                <w:sz w:val="17"/>
                <w:szCs w:val="17"/>
              </w:rPr>
              <w:t xml:space="preserve">RMS</w:t>
            </w:r>
          </w:p>
        </w:tc>
        <w:tc>
          <w:tcPr>
            <w:tcW w:type="dxa" w:w="1351"/>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734"/>
            <w:shd w:fill="F3F5F7" w:color="auto" w:val="clear"/>
            <w:tcMar>
              <w:top w:type="dxa" w:w="50"/>
              <w:left w:type="dxa" w:w="90"/>
              <w:bottom w:type="dxa" w:w="50"/>
              <w:right w:type="dxa" w:w="90"/>
            </w:tcMar>
            <w:vAlign w:val="top"/>
          </w:tcPr>
          <w:p>
            <w:pPr>
              <w:spacing w:after="30" w:before="0" w:line="252"/>
            </w:pPr>
            <w:r>
              <w:rPr>
                <w:b/>
                <w:bCs/>
                <w:sz w:val="17"/>
                <w:szCs w:val="17"/>
              </w:rPr>
              <w:t xml:space="preserve">Compliance-Risiko­analyse</w:t>
            </w:r>
          </w:p>
        </w:tc>
        <w:tc>
          <w:tcPr>
            <w:tcW w:type="dxa" w:w="520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Risikofeld aufnehmen; Pflichten A1–A14 ins Pflichten­register.</w:t>
            </w:r>
          </w:p>
        </w:tc>
        <w:tc>
          <w:tcPr>
            <w:tcW w:type="dxa" w:w="134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w:t>
            </w:r>
          </w:p>
        </w:tc>
        <w:tc>
          <w:tcPr>
            <w:tcW w:type="dxa" w:w="1351"/>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734"/>
            <w:tcMar>
              <w:top w:type="dxa" w:w="50"/>
              <w:left w:type="dxa" w:w="90"/>
              <w:bottom w:type="dxa" w:w="50"/>
              <w:right w:type="dxa" w:w="90"/>
            </w:tcMar>
            <w:vAlign w:val="top"/>
          </w:tcPr>
          <w:p>
            <w:pPr>
              <w:spacing w:after="30" w:before="0" w:line="252"/>
            </w:pPr>
            <w:r>
              <w:rPr>
                <w:b/>
                <w:bCs/>
                <w:sz w:val="17"/>
                <w:szCs w:val="17"/>
              </w:rPr>
              <w:t xml:space="preserve">Policies</w:t>
            </w:r>
          </w:p>
        </w:tc>
        <w:tc>
          <w:tcPr>
            <w:tcW w:type="dxa" w:w="5204"/>
            <w:tcMar>
              <w:top w:type="dxa" w:w="50"/>
              <w:left w:type="dxa" w:w="90"/>
              <w:bottom w:type="dxa" w:w="50"/>
              <w:right w:type="dxa" w:w="90"/>
            </w:tcMar>
            <w:vAlign w:val="top"/>
          </w:tcPr>
          <w:p>
            <w:pPr>
              <w:spacing w:after="30" w:before="0" w:line="252"/>
            </w:pPr>
            <w:r>
              <w:rPr>
                <w:b w:val="false"/>
                <w:bCs w:val="false"/>
                <w:sz w:val="17"/>
                <w:szCs w:val="17"/>
              </w:rPr>
              <w:t xml:space="preserve">Verhaltens­kodex (Grundsatz); Marketing-, Social-Media-, Marken-, KI-Nutzungs-, Einkaufs- und Lieferanten­richtlinien mit Verweis auf die Claims-Richtlinie.</w:t>
            </w:r>
          </w:p>
        </w:tc>
        <w:tc>
          <w:tcPr>
            <w:tcW w:type="dxa" w:w="1349"/>
            <w:tcMar>
              <w:top w:type="dxa" w:w="50"/>
              <w:left w:type="dxa" w:w="90"/>
              <w:bottom w:type="dxa" w:w="50"/>
              <w:right w:type="dxa" w:w="90"/>
            </w:tcMar>
            <w:vAlign w:val="top"/>
          </w:tcPr>
          <w:p>
            <w:pPr>
              <w:spacing w:after="30" w:before="0" w:line="252"/>
            </w:pPr>
            <w:r>
              <w:rPr>
                <w:b w:val="false"/>
                <w:bCs w:val="false"/>
                <w:sz w:val="17"/>
                <w:szCs w:val="17"/>
              </w:rPr>
              <w:t xml:space="preserve">CMS</w:t>
            </w:r>
          </w:p>
        </w:tc>
        <w:tc>
          <w:tcPr>
            <w:tcW w:type="dxa" w:w="1351"/>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Kodex </w:t>
            </w:r>
            <w:r>
              <w:rPr>
                <w:b/>
                <w:bCs/>
                <w:color w:val="5B4B8A"/>
                <w:sz w:val="15"/>
                <w:szCs w:val="15"/>
              </w:rPr>
              <w:t xml:space="preserve">[Best Practice]</w:t>
            </w:r>
          </w:p>
        </w:tc>
      </w:tr>
      <w:tr>
        <w:trPr>
          <w:cantSplit/>
        </w:trPr>
        <w:tc>
          <w:tcPr>
            <w:tcW w:type="dxa" w:w="1734"/>
            <w:shd w:fill="F3F5F7" w:color="auto" w:val="clear"/>
            <w:tcMar>
              <w:top w:type="dxa" w:w="50"/>
              <w:left w:type="dxa" w:w="90"/>
              <w:bottom w:type="dxa" w:w="50"/>
              <w:right w:type="dxa" w:w="90"/>
            </w:tcMar>
            <w:vAlign w:val="top"/>
          </w:tcPr>
          <w:p>
            <w:pPr>
              <w:spacing w:after="30" w:before="0" w:line="252"/>
            </w:pPr>
            <w:r>
              <w:rPr>
                <w:b/>
                <w:bCs/>
                <w:sz w:val="17"/>
                <w:szCs w:val="17"/>
              </w:rPr>
              <w:t xml:space="preserve">Kontrollmatrizen</w:t>
            </w:r>
          </w:p>
        </w:tc>
        <w:tc>
          <w:tcPr>
            <w:tcW w:type="dxa" w:w="520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Neuer Prozess in der Risiko-Kontroll-Matrix; Querbezüge zu Einkauf, PIM und IT-Berechtigungen.</w:t>
            </w:r>
          </w:p>
        </w:tc>
        <w:tc>
          <w:tcPr>
            <w:tcW w:type="dxa" w:w="134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IKS</w:t>
            </w:r>
          </w:p>
        </w:tc>
        <w:tc>
          <w:tcPr>
            <w:tcW w:type="dxa" w:w="1351"/>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734"/>
            <w:tcMar>
              <w:top w:type="dxa" w:w="50"/>
              <w:left w:type="dxa" w:w="90"/>
              <w:bottom w:type="dxa" w:w="50"/>
              <w:right w:type="dxa" w:w="90"/>
            </w:tcMar>
            <w:vAlign w:val="top"/>
          </w:tcPr>
          <w:p>
            <w:pPr>
              <w:spacing w:after="30" w:before="0" w:line="252"/>
            </w:pPr>
            <w:r>
              <w:rPr>
                <w:b/>
                <w:bCs/>
                <w:sz w:val="17"/>
                <w:szCs w:val="17"/>
              </w:rPr>
              <w:t xml:space="preserve">Freigabe­prozesse</w:t>
            </w:r>
          </w:p>
        </w:tc>
        <w:tc>
          <w:tcPr>
            <w:tcW w:type="dxa" w:w="5204"/>
            <w:tcMar>
              <w:top w:type="dxa" w:w="50"/>
              <w:left w:type="dxa" w:w="90"/>
              <w:bottom w:type="dxa" w:w="50"/>
              <w:right w:type="dxa" w:w="90"/>
            </w:tcMar>
            <w:vAlign w:val="top"/>
          </w:tcPr>
          <w:p>
            <w:pPr>
              <w:spacing w:after="30" w:before="0" w:line="252"/>
            </w:pPr>
            <w:r>
              <w:rPr>
                <w:b w:val="false"/>
                <w:bCs w:val="false"/>
                <w:sz w:val="17"/>
                <w:szCs w:val="17"/>
              </w:rPr>
              <w:t xml:space="preserve">Werbe-, Druck-, Verpackungs- und Produkttext­freigaben um Claim-ID, Klassifizierung und Evidenzverweis erweitern; Kompetenzordnung anpassen.</w:t>
            </w:r>
          </w:p>
        </w:tc>
        <w:tc>
          <w:tcPr>
            <w:tcW w:type="dxa" w:w="1349"/>
            <w:tcMar>
              <w:top w:type="dxa" w:w="50"/>
              <w:left w:type="dxa" w:w="90"/>
              <w:bottom w:type="dxa" w:w="50"/>
              <w:right w:type="dxa" w:w="90"/>
            </w:tcMar>
            <w:vAlign w:val="top"/>
          </w:tcPr>
          <w:p>
            <w:pPr>
              <w:spacing w:after="30" w:before="0" w:line="252"/>
            </w:pPr>
            <w:r>
              <w:rPr>
                <w:b w:val="false"/>
                <w:bCs w:val="false"/>
                <w:sz w:val="17"/>
                <w:szCs w:val="17"/>
              </w:rPr>
              <w:t xml:space="preserve">IKS, CMS</w:t>
            </w:r>
          </w:p>
        </w:tc>
        <w:tc>
          <w:tcPr>
            <w:tcW w:type="dxa" w:w="1351"/>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734"/>
            <w:shd w:fill="F3F5F7" w:color="auto" w:val="clear"/>
            <w:tcMar>
              <w:top w:type="dxa" w:w="50"/>
              <w:left w:type="dxa" w:w="90"/>
              <w:bottom w:type="dxa" w:w="50"/>
              <w:right w:type="dxa" w:w="90"/>
            </w:tcMar>
            <w:vAlign w:val="top"/>
          </w:tcPr>
          <w:p>
            <w:pPr>
              <w:spacing w:after="30" w:before="0" w:line="252"/>
            </w:pPr>
            <w:r>
              <w:rPr>
                <w:b/>
                <w:bCs/>
                <w:sz w:val="17"/>
                <w:szCs w:val="17"/>
              </w:rPr>
              <w:t xml:space="preserve">Monitoring und Reporting</w:t>
            </w:r>
          </w:p>
        </w:tc>
        <w:tc>
          <w:tcPr>
            <w:tcW w:type="dxa" w:w="520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Claims im Compliance- und Risiko­bericht; Prüfungsplan der Revision; Kontroll­test­plan.</w:t>
            </w:r>
          </w:p>
        </w:tc>
        <w:tc>
          <w:tcPr>
            <w:tcW w:type="dxa" w:w="134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alle</w:t>
            </w:r>
          </w:p>
        </w:tc>
        <w:tc>
          <w:tcPr>
            <w:tcW w:type="dxa" w:w="1351"/>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734"/>
            <w:tcMar>
              <w:top w:type="dxa" w:w="50"/>
              <w:left w:type="dxa" w:w="90"/>
              <w:bottom w:type="dxa" w:w="50"/>
              <w:right w:type="dxa" w:w="90"/>
            </w:tcMar>
            <w:vAlign w:val="top"/>
          </w:tcPr>
          <w:p>
            <w:pPr>
              <w:spacing w:after="30" w:before="0" w:line="252"/>
            </w:pPr>
            <w:r>
              <w:rPr>
                <w:b/>
                <w:bCs/>
                <w:sz w:val="17"/>
                <w:szCs w:val="17"/>
              </w:rPr>
              <w:t xml:space="preserve">Marketing­prozesse</w:t>
            </w:r>
          </w:p>
        </w:tc>
        <w:tc>
          <w:tcPr>
            <w:tcW w:type="dxa" w:w="5204"/>
            <w:tcMar>
              <w:top w:type="dxa" w:w="50"/>
              <w:left w:type="dxa" w:w="90"/>
              <w:bottom w:type="dxa" w:w="50"/>
              <w:right w:type="dxa" w:w="90"/>
            </w:tcMar>
            <w:vAlign w:val="top"/>
          </w:tcPr>
          <w:p>
            <w:pPr>
              <w:spacing w:after="30" w:before="0" w:line="252"/>
            </w:pPr>
            <w:r>
              <w:rPr>
                <w:b w:val="false"/>
                <w:bCs w:val="false"/>
                <w:sz w:val="17"/>
                <w:szCs w:val="17"/>
              </w:rPr>
              <w:t xml:space="preserve">Briefing mit Claim-Bibliothek; Agenturverträge; Freigabe vor Veröffentlichung; Archivierung der Varianten.</w:t>
            </w:r>
          </w:p>
        </w:tc>
        <w:tc>
          <w:tcPr>
            <w:tcW w:type="dxa" w:w="1349"/>
            <w:tcMar>
              <w:top w:type="dxa" w:w="50"/>
              <w:left w:type="dxa" w:w="90"/>
              <w:bottom w:type="dxa" w:w="50"/>
              <w:right w:type="dxa" w:w="90"/>
            </w:tcMar>
            <w:vAlign w:val="top"/>
          </w:tcPr>
          <w:p>
            <w:pPr>
              <w:spacing w:after="30" w:before="0" w:line="252"/>
            </w:pPr>
            <w:r>
              <w:rPr>
                <w:b w:val="false"/>
                <w:bCs w:val="false"/>
                <w:sz w:val="17"/>
                <w:szCs w:val="17"/>
              </w:rPr>
              <w:t xml:space="preserve">CMS, IKS</w:t>
            </w:r>
          </w:p>
        </w:tc>
        <w:tc>
          <w:tcPr>
            <w:tcW w:type="dxa" w:w="1351"/>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r>
        <w:trPr>
          <w:cantSplit/>
        </w:trPr>
        <w:tc>
          <w:tcPr>
            <w:tcW w:type="dxa" w:w="1734"/>
            <w:shd w:fill="F3F5F7" w:color="auto" w:val="clear"/>
            <w:tcMar>
              <w:top w:type="dxa" w:w="50"/>
              <w:left w:type="dxa" w:w="90"/>
              <w:bottom w:type="dxa" w:w="50"/>
              <w:right w:type="dxa" w:w="90"/>
            </w:tcMar>
            <w:vAlign w:val="top"/>
          </w:tcPr>
          <w:p>
            <w:pPr>
              <w:spacing w:after="30" w:before="0" w:line="252"/>
            </w:pPr>
            <w:r>
              <w:rPr>
                <w:b/>
                <w:bCs/>
                <w:sz w:val="17"/>
                <w:szCs w:val="17"/>
              </w:rPr>
              <w:t xml:space="preserve">Produkt­prozesse</w:t>
            </w:r>
          </w:p>
        </w:tc>
        <w:tc>
          <w:tcPr>
            <w:tcW w:type="dxa" w:w="520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Stage-Gate-Kriterium; Änderungs­lenkung als Claim-Trigger; Haltbarkeits- und Reparatur­aussagen; Pflichtattribute im PIM.</w:t>
            </w:r>
          </w:p>
        </w:tc>
        <w:tc>
          <w:tcPr>
            <w:tcW w:type="dxa" w:w="134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IKS</w:t>
            </w:r>
          </w:p>
        </w:tc>
        <w:tc>
          <w:tcPr>
            <w:tcW w:type="dxa" w:w="1351"/>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Pflicht­informationen </w:t>
            </w:r>
            <w:r>
              <w:rPr>
                <w:b/>
                <w:bCs/>
                <w:color w:val="B04A16"/>
                <w:sz w:val="15"/>
                <w:szCs w:val="15"/>
              </w:rPr>
              <w:t xml:space="preserve">[Pflicht]</w:t>
            </w:r>
          </w:p>
        </w:tc>
      </w:tr>
      <w:tr>
        <w:trPr>
          <w:cantSplit/>
        </w:trPr>
        <w:tc>
          <w:tcPr>
            <w:tcW w:type="dxa" w:w="1734"/>
            <w:tcMar>
              <w:top w:type="dxa" w:w="50"/>
              <w:left w:type="dxa" w:w="90"/>
              <w:bottom w:type="dxa" w:w="50"/>
              <w:right w:type="dxa" w:w="90"/>
            </w:tcMar>
            <w:vAlign w:val="top"/>
          </w:tcPr>
          <w:p>
            <w:pPr>
              <w:spacing w:after="30" w:before="0" w:line="252"/>
            </w:pPr>
            <w:r>
              <w:rPr>
                <w:b/>
                <w:bCs/>
                <w:sz w:val="17"/>
                <w:szCs w:val="17"/>
              </w:rPr>
              <w:t xml:space="preserve">Sustainability-Prozesse</w:t>
            </w:r>
          </w:p>
        </w:tc>
        <w:tc>
          <w:tcPr>
            <w:tcW w:type="dxa" w:w="5204"/>
            <w:tcMar>
              <w:top w:type="dxa" w:w="50"/>
              <w:left w:type="dxa" w:w="90"/>
              <w:bottom w:type="dxa" w:w="50"/>
              <w:right w:type="dxa" w:w="90"/>
            </w:tcMar>
            <w:vAlign w:val="top"/>
          </w:tcPr>
          <w:p>
            <w:pPr>
              <w:spacing w:after="30" w:before="0" w:line="252"/>
            </w:pPr>
            <w:r>
              <w:rPr>
                <w:b w:val="false"/>
                <w:bCs w:val="false"/>
                <w:sz w:val="17"/>
                <w:szCs w:val="17"/>
              </w:rPr>
              <w:t xml:space="preserve">Rolle als Daten­lieferant und Fachprüfer statt Freigeber; Konsistenz­abgleich zwischen Bericht und Werbung; Zielsteuerung für Zukunfts­aussagen.</w:t>
            </w:r>
          </w:p>
        </w:tc>
        <w:tc>
          <w:tcPr>
            <w:tcW w:type="dxa" w:w="1349"/>
            <w:tcMar>
              <w:top w:type="dxa" w:w="50"/>
              <w:left w:type="dxa" w:w="90"/>
              <w:bottom w:type="dxa" w:w="50"/>
              <w:right w:type="dxa" w:w="90"/>
            </w:tcMar>
            <w:vAlign w:val="top"/>
          </w:tcPr>
          <w:p>
            <w:pPr>
              <w:spacing w:after="30" w:before="0" w:line="252"/>
            </w:pPr>
            <w:r>
              <w:rPr>
                <w:b w:val="false"/>
                <w:bCs w:val="false"/>
                <w:sz w:val="17"/>
                <w:szCs w:val="17"/>
              </w:rPr>
              <w:t xml:space="preserve">IKS, RMS</w:t>
            </w:r>
          </w:p>
        </w:tc>
        <w:tc>
          <w:tcPr>
            <w:tcW w:type="dxa" w:w="1351"/>
            <w:tcMar>
              <w:top w:type="dxa" w:w="50"/>
              <w:left w:type="dxa" w:w="90"/>
              <w:bottom w:type="dxa" w:w="50"/>
              <w:right w:type="dxa" w:w="90"/>
            </w:tcMar>
            <w:vAlign w:val="top"/>
          </w:tcPr>
          <w:p>
            <w:pPr>
              <w:spacing w:after="30" w:before="0" w:line="252"/>
            </w:pPr>
            <w:r>
              <w:rPr>
                <w:b/>
                <w:bCs/>
                <w:color w:val="1F6F63"/>
                <w:sz w:val="15"/>
                <w:szCs w:val="15"/>
              </w:rPr>
              <w:t xml:space="preserve">[Organisation]</w:t>
            </w:r>
            <w:r>
              <w:rPr>
                <w:b w:val="false"/>
                <w:bCs w:val="false"/>
                <w:sz w:val="17"/>
                <w:szCs w:val="17"/>
              </w:rPr>
              <w:t xml:space="preserve">; Abgleich </w:t>
            </w:r>
            <w:r>
              <w:rPr>
                <w:b/>
                <w:bCs/>
                <w:color w:val="5B4B8A"/>
                <w:sz w:val="15"/>
                <w:szCs w:val="15"/>
              </w:rPr>
              <w:t xml:space="preserve">[Best Practice]</w:t>
            </w:r>
          </w:p>
        </w:tc>
      </w:tr>
      <w:tr>
        <w:trPr>
          <w:cantSplit/>
        </w:trPr>
        <w:tc>
          <w:tcPr>
            <w:tcW w:type="dxa" w:w="1734"/>
            <w:shd w:fill="F3F5F7" w:color="auto" w:val="clear"/>
            <w:tcMar>
              <w:top w:type="dxa" w:w="50"/>
              <w:left w:type="dxa" w:w="90"/>
              <w:bottom w:type="dxa" w:w="50"/>
              <w:right w:type="dxa" w:w="90"/>
            </w:tcMar>
            <w:vAlign w:val="top"/>
          </w:tcPr>
          <w:p>
            <w:pPr>
              <w:spacing w:after="30" w:before="0" w:line="252"/>
            </w:pPr>
            <w:r>
              <w:rPr>
                <w:b/>
                <w:bCs/>
                <w:sz w:val="17"/>
                <w:szCs w:val="17"/>
              </w:rPr>
              <w:t xml:space="preserve">Legal-Prozesse</w:t>
            </w:r>
          </w:p>
        </w:tc>
        <w:tc>
          <w:tcPr>
            <w:tcW w:type="dxa" w:w="5204"/>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Risikobasierte Einbindung: Hochrisiko-Claims immer, sonst Stichprobe; Abmahn-Playbook; im KMU Rahmenvertrag mit einer Kanzlei.</w:t>
            </w:r>
          </w:p>
        </w:tc>
        <w:tc>
          <w:tcPr>
            <w:tcW w:type="dxa" w:w="134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w:t>
            </w:r>
          </w:p>
        </w:tc>
        <w:tc>
          <w:tcPr>
            <w:tcW w:type="dxa" w:w="1351"/>
            <w:shd w:fill="F3F5F7" w:color="auto" w:val="clear"/>
            <w:tcMar>
              <w:top w:type="dxa" w:w="50"/>
              <w:left w:type="dxa" w:w="90"/>
              <w:bottom w:type="dxa" w:w="50"/>
              <w:right w:type="dxa" w:w="90"/>
            </w:tcMar>
            <w:vAlign w:val="top"/>
          </w:tcPr>
          <w:p>
            <w:pPr>
              <w:spacing w:after="30" w:before="0" w:line="252"/>
            </w:pPr>
            <w:r>
              <w:rPr>
                <w:b/>
                <w:bCs/>
                <w:color w:val="1F6F63"/>
                <w:sz w:val="15"/>
                <w:szCs w:val="15"/>
              </w:rPr>
              <w:t xml:space="preserve">[Organisation]</w:t>
            </w:r>
          </w:p>
        </w:tc>
      </w:tr>
    </w:tbl>
    <w:p>
      <w:pPr>
        <w:spacing w:after="120"/>
      </w:pPr>
    </w:p>
    <w:p>
      <w:pPr>
        <w:pStyle w:val="Heading1"/>
        <w:keepNext/>
        <w:pageBreakBefore/>
      </w:pPr>
      <w:r>
        <w:t xml:space="preserve">10 Durchgängige Beispiele</w:t>
      </w:r>
    </w:p>
    <w:p>
      <w:pPr>
        <w:spacing w:after="120" w:before="0" w:line="276"/>
      </w:pPr>
      <w:r>
        <w:t xml:space="preserve">Die Beispiele zeigen, wie derselbe Sachverhalt in den drei Systemen unterschiedlich behandelt wird. Die rechtliche Einordnung ist vereinfacht und ersetzt keine Prüfung im Einzelfall.</w:t>
      </w:r>
    </w:p>
    <w:p>
      <w:pPr>
        <w:pStyle w:val="Heading2"/>
        <w:keepNext/>
      </w:pPr>
      <w:r>
        <w:t xml:space="preserve">10.1 Umweltclaim auf der Website</w:t>
      </w:r>
    </w:p>
    <w:p>
      <w:pPr>
        <w:spacing w:after="120" w:before="0" w:line="276"/>
      </w:pPr>
      <w:r>
        <w:rPr>
          <w:b/>
          <w:bCs/>
        </w:rPr>
        <w:t xml:space="preserve">Sachverhalt:</w:t>
      </w:r>
      <w:r>
        <w:t xml:space="preserve"> Ein Konsumgüterhersteller schreibt auf der Produktseite seines Onlineshops: „Umweltfreundlich verpackt – unsere Verpackung besteht zu 80 % aus recyceltem Kunststoff.“</w:t>
      </w:r>
    </w:p>
    <w:p>
      <w:pPr>
        <w:spacing w:after="120" w:before="0" w:line="276"/>
      </w:pPr>
      <w:r>
        <w:rPr>
          <w:b/>
          <w:bCs/>
        </w:rPr>
        <w:t xml:space="preserve">Rechtliche Einordnung:</w:t>
      </w:r>
      <w:r>
        <w:t xml:space="preserve"> „Umweltfreundlich“ ist ein typisches Beispiel einer allgemeinen Umweltaussage (vgl. Erwägungsgründe 9 und 10 der Richtlinie) </w:t>
      </w:r>
      <w:r>
        <w:rPr>
          <w:color w:val="5E6B78"/>
          <w:sz w:val="18"/>
          <w:szCs w:val="18"/>
        </w:rPr>
        <w:t xml:space="preserve">[R1]</w:t>
      </w:r>
      <w:r>
        <w:t xml:space="preserve">. Sie ist nur zulässig, wenn eine anerkannte hervorragende Umweltleistung nachgewiesen werden kann oder die Aussage im selben Medium klar und hervorgehoben spezifiziert wird (A2). Ob der Zusatz „80 % recycelter Kunststoff“ als Spezifizierung genügt, ist eine Frage des Einzelfalls; sicherer ist, den allgemeinen Begriff zu streichen. Die Aussage muss zudem erkennbar auf die Verpackung beschränkt sein (A4), und die 80 % müssen stimmen und belegbar sein (A1, A12).</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963"/>
        <w:gridCol w:w="2891"/>
        <w:gridCol w:w="5784"/>
      </w:tblGrid>
      <w:tr>
        <w:trPr>
          <w:cantSplit/>
          <w:tblHeader/>
        </w:trPr>
        <w:tc>
          <w:tcPr>
            <w:tcW w:type="dxa" w:w="963"/>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System</w:t>
            </w:r>
          </w:p>
        </w:tc>
        <w:tc>
          <w:tcPr>
            <w:tcW w:type="dxa" w:w="2891"/>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Leitfrage</w:t>
            </w:r>
          </w:p>
        </w:tc>
        <w:tc>
          <w:tcPr>
            <w:tcW w:type="dxa" w:w="5784"/>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Behandlung</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RMS</w:t>
            </w:r>
          </w:p>
        </w:tc>
        <w:tc>
          <w:tcPr>
            <w:tcW w:type="dxa" w:w="2891"/>
            <w:tcMar>
              <w:top w:type="dxa" w:w="50"/>
              <w:left w:type="dxa" w:w="90"/>
              <w:bottom w:type="dxa" w:w="50"/>
              <w:right w:type="dxa" w:w="90"/>
            </w:tcMar>
            <w:vAlign w:val="top"/>
          </w:tcPr>
          <w:p>
            <w:pPr>
              <w:spacing w:after="30" w:before="0" w:line="252"/>
            </w:pPr>
            <w:r>
              <w:rPr>
                <w:b w:val="false"/>
                <w:bCs w:val="false"/>
                <w:sz w:val="18"/>
                <w:szCs w:val="18"/>
              </w:rPr>
              <w:t xml:space="preserve">Wie groß ist das Risiko, und ist es tragbar?</w:t>
            </w:r>
          </w:p>
        </w:tc>
        <w:tc>
          <w:tcPr>
            <w:tcW w:type="dxa" w:w="5784"/>
            <w:tcMar>
              <w:top w:type="dxa" w:w="50"/>
              <w:left w:type="dxa" w:w="90"/>
              <w:bottom w:type="dxa" w:w="50"/>
              <w:right w:type="dxa" w:w="90"/>
            </w:tcMar>
            <w:vAlign w:val="top"/>
          </w:tcPr>
          <w:p>
            <w:pPr>
              <w:spacing w:after="30" w:before="0" w:line="252"/>
            </w:pPr>
            <w:r>
              <w:rPr>
                <w:b w:val="false"/>
                <w:bCs w:val="false"/>
                <w:sz w:val="18"/>
                <w:szCs w:val="18"/>
              </w:rPr>
              <w:t xml:space="preserve">Unter­kategorie Claim-Risiko; hohe Eintrittswahrscheinlichkeit (öffentlich sichtbar, Per-se-Verbot); Behandlung durch Vermeidung und Kontrollen; Frühwarn­indikator „Claims ohne vollständiges Dossier“.</w:t>
            </w:r>
          </w:p>
        </w:tc>
      </w:tr>
      <w:tr>
        <w:trPr>
          <w:cantSplit/>
        </w:trPr>
        <w:tc>
          <w:tcPr>
            <w:tcW w:type="dxa" w:w="963"/>
            <w:shd w:fill="F3F5F7" w:color="auto" w:val="clear"/>
            <w:tcMar>
              <w:top w:type="dxa" w:w="50"/>
              <w:left w:type="dxa" w:w="90"/>
              <w:bottom w:type="dxa" w:w="50"/>
              <w:right w:type="dxa" w:w="90"/>
            </w:tcMar>
            <w:vAlign w:val="top"/>
          </w:tcPr>
          <w:p>
            <w:pPr>
              <w:spacing w:after="30" w:before="0" w:line="252"/>
            </w:pPr>
            <w:r>
              <w:rPr>
                <w:b/>
                <w:bCs/>
                <w:sz w:val="18"/>
                <w:szCs w:val="18"/>
              </w:rPr>
              <w:t xml:space="preserve">CMS</w:t>
            </w:r>
          </w:p>
        </w:tc>
        <w:tc>
          <w:tcPr>
            <w:tcW w:type="dxa" w:w="2891"/>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Welche Regeln gelten, wer ist zuständig?</w:t>
            </w:r>
          </w:p>
        </w:tc>
        <w:tc>
          <w:tcPr>
            <w:tcW w:type="dxa" w:w="5784"/>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Pflichten A1, A2, A4 und A12 im Register; Negativliste; Claim-Owner benannt; Web-Redaktion und Agentur geschult; Freigabe­matrix.</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IKS</w:t>
            </w:r>
          </w:p>
        </w:tc>
        <w:tc>
          <w:tcPr>
            <w:tcW w:type="dxa" w:w="2891"/>
            <w:tcMar>
              <w:top w:type="dxa" w:w="50"/>
              <w:left w:type="dxa" w:w="90"/>
              <w:bottom w:type="dxa" w:w="50"/>
              <w:right w:type="dxa" w:w="90"/>
            </w:tcMar>
            <w:vAlign w:val="top"/>
          </w:tcPr>
          <w:p>
            <w:pPr>
              <w:spacing w:after="30" w:before="0" w:line="252"/>
            </w:pPr>
            <w:r>
              <w:rPr>
                <w:b w:val="false"/>
                <w:bCs w:val="false"/>
                <w:sz w:val="18"/>
                <w:szCs w:val="18"/>
              </w:rPr>
              <w:t xml:space="preserve">Ist sichergestellt und belegt, dass nur zulässige, belegte Aussagen online gehen?</w:t>
            </w:r>
          </w:p>
        </w:tc>
        <w:tc>
          <w:tcPr>
            <w:tcW w:type="dxa" w:w="5784"/>
            <w:tcMar>
              <w:top w:type="dxa" w:w="50"/>
              <w:left w:type="dxa" w:w="90"/>
              <w:bottom w:type="dxa" w:w="50"/>
              <w:right w:type="dxa" w:w="90"/>
            </w:tcMar>
            <w:vAlign w:val="top"/>
          </w:tcPr>
          <w:p>
            <w:pPr>
              <w:spacing w:after="30" w:before="0" w:line="252"/>
            </w:pPr>
            <w:r>
              <w:rPr>
                <w:b w:val="false"/>
                <w:bCs w:val="false"/>
                <w:sz w:val="18"/>
                <w:szCs w:val="18"/>
              </w:rPr>
              <w:t xml:space="preserve">K2 Negativliste, K3 Evidenz und Scope, K4 Freigabe, K1 Gate im Web-CMS, K7 Ablaufwarnung für das Zertifikat, K8 Quartalsscan.</w:t>
            </w:r>
          </w:p>
        </w:tc>
      </w:tr>
    </w:tbl>
    <w:p>
      <w:pPr>
        <w:spacing w:after="120"/>
      </w:pPr>
    </w:p>
    <w:p>
      <w:pPr>
        <w:spacing w:after="120" w:before="0" w:line="276"/>
      </w:pPr>
      <w:r>
        <w:rPr>
          <w:b/>
          <w:bCs/>
        </w:rPr>
        <w:t xml:space="preserve">Ergebnis:</w:t>
      </w:r>
      <w:r>
        <w:t xml:space="preserve"> Veröffentlicht wird eine spezifische Aussage wie „Die Verpackung dieses Produkts besteht zu 80 % (Gewichtsanteil) aus recyceltem Kunststoff“, gegebenenfalls ergänzt um die erfassten Verpackungsteile. Das Dossier enthält das Lieferantenzertifikat, die Berechnung und den Freigabevermerk.</w:t>
      </w:r>
    </w:p>
    <w:p>
      <w:pPr>
        <w:pStyle w:val="Heading2"/>
        <w:keepNext/>
      </w:pPr>
      <w:r>
        <w:t xml:space="preserve">10.2 Eigenes Nachhaltigkeitssiegel</w:t>
      </w:r>
    </w:p>
    <w:p>
      <w:pPr>
        <w:spacing w:after="120" w:before="0" w:line="276"/>
      </w:pPr>
      <w:r>
        <w:rPr>
          <w:b/>
          <w:bCs/>
        </w:rPr>
        <w:t xml:space="preserve">Sachverhalt:</w:t>
      </w:r>
      <w:r>
        <w:t xml:space="preserve"> Ein Händler nutzt seit Jahren ein eigenes Icon „Grüne Wahl“ für ausgewählte Produkte. Es wird nach internen Kriterien vergeben.</w:t>
      </w:r>
    </w:p>
    <w:p>
      <w:pPr>
        <w:spacing w:after="120" w:before="0" w:line="276"/>
      </w:pPr>
      <w:r>
        <w:rPr>
          <w:b/>
          <w:bCs/>
        </w:rPr>
        <w:t xml:space="preserve">Einordnung:</w:t>
      </w:r>
      <w:r>
        <w:t xml:space="preserve"> Ein Nachhaltigkeitssiegel ist nur zulässig, wenn es auf einem Zertifizierungssystem beruht oder staatlich festgesetzt ist (A3). Das Zertifizierungssystem verlangt unter anderem eine Überwachung durch einen kompetenten, unabhängigen Dritten </w:t>
      </w:r>
      <w:r>
        <w:rPr>
          <w:color w:val="5E6B78"/>
          <w:sz w:val="18"/>
          <w:szCs w:val="18"/>
        </w:rPr>
        <w:t xml:space="preserve">[R1]</w:t>
      </w:r>
      <w:r>
        <w:t xml:space="preserve">. Nach Auffassung der Kommission darf ein Unternehmen ein eigenes Siegel haben, wenn ein echtes Zertifizierungssystem dahintersteht </w:t>
      </w:r>
      <w:r>
        <w:rPr>
          <w:color w:val="5E6B78"/>
          <w:sz w:val="18"/>
          <w:szCs w:val="18"/>
        </w:rPr>
        <w:t xml:space="preserve">[B1]</w:t>
      </w:r>
      <w:r>
        <w:t xml:space="preserve">. Die interne Vergabe erfüllt das nicht.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963"/>
        <w:gridCol w:w="8675"/>
      </w:tblGrid>
      <w:tr>
        <w:trPr>
          <w:cantSplit/>
          <w:tblHeader/>
        </w:trPr>
        <w:tc>
          <w:tcPr>
            <w:tcW w:type="dxa" w:w="963"/>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System</w:t>
            </w:r>
          </w:p>
        </w:tc>
        <w:tc>
          <w:tcPr>
            <w:tcW w:type="dxa" w:w="8675"/>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Behandlung</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RMS</w:t>
            </w:r>
          </w:p>
        </w:tc>
        <w:tc>
          <w:tcPr>
            <w:tcW w:type="dxa" w:w="8675"/>
            <w:tcMar>
              <w:top w:type="dxa" w:w="50"/>
              <w:left w:type="dxa" w:w="90"/>
              <w:bottom w:type="dxa" w:w="50"/>
              <w:right w:type="dxa" w:w="90"/>
            </w:tcMar>
            <w:vAlign w:val="top"/>
          </w:tcPr>
          <w:p>
            <w:pPr>
              <w:spacing w:after="30" w:before="0" w:line="252"/>
            </w:pPr>
            <w:r>
              <w:rPr>
                <w:b w:val="false"/>
                <w:bCs w:val="false"/>
                <w:sz w:val="18"/>
                <w:szCs w:val="18"/>
              </w:rPr>
              <w:t xml:space="preserve">Strategisches Risiko (Wegfall eines Differenzierungsmerkmals), Rechtsrisiko (Per-se-Verbot), Umstellungskosten.</w:t>
            </w:r>
          </w:p>
        </w:tc>
      </w:tr>
      <w:tr>
        <w:trPr>
          <w:cantSplit/>
        </w:trPr>
        <w:tc>
          <w:tcPr>
            <w:tcW w:type="dxa" w:w="963"/>
            <w:shd w:fill="F3F5F7" w:color="auto" w:val="clear"/>
            <w:tcMar>
              <w:top w:type="dxa" w:w="50"/>
              <w:left w:type="dxa" w:w="90"/>
              <w:bottom w:type="dxa" w:w="50"/>
              <w:right w:type="dxa" w:w="90"/>
            </w:tcMar>
            <w:vAlign w:val="top"/>
          </w:tcPr>
          <w:p>
            <w:pPr>
              <w:spacing w:after="30" w:before="0" w:line="252"/>
            </w:pPr>
            <w:r>
              <w:rPr>
                <w:b/>
                <w:bCs/>
                <w:sz w:val="18"/>
                <w:szCs w:val="18"/>
              </w:rPr>
              <w:t xml:space="preserve">CMS</w:t>
            </w:r>
          </w:p>
        </w:tc>
        <w:tc>
          <w:tcPr>
            <w:tcW w:type="dxa" w:w="8675"/>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Label-Register; Entscheidung zwischen Streichen, Wechsel auf ein anerkanntes Zeichen (z. B. EU-Umweltzeichen, Blauer Engel) oder Aufbau eines Zertifizierungs­systems mit Drittüberwachung. Plattform- und Händler-Flags einbeziehen.</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IKS</w:t>
            </w:r>
          </w:p>
        </w:tc>
        <w:tc>
          <w:tcPr>
            <w:tcW w:type="dxa" w:w="8675"/>
            <w:tcMar>
              <w:top w:type="dxa" w:w="50"/>
              <w:left w:type="dxa" w:w="90"/>
              <w:bottom w:type="dxa" w:w="50"/>
              <w:right w:type="dxa" w:w="90"/>
            </w:tcMar>
            <w:vAlign w:val="top"/>
          </w:tcPr>
          <w:p>
            <w:pPr>
              <w:spacing w:after="30" w:before="0" w:line="252"/>
            </w:pPr>
            <w:r>
              <w:rPr>
                <w:b w:val="false"/>
                <w:bCs w:val="false"/>
                <w:sz w:val="18"/>
                <w:szCs w:val="18"/>
              </w:rPr>
              <w:t xml:space="preserve">K5 Siegel­prüfung vor Nutzung und jährlich; K8 Kanal-Scan auch nach Icons; K1 Gate für den Verpackungsdruck.</w:t>
            </w:r>
          </w:p>
        </w:tc>
      </w:tr>
    </w:tbl>
    <w:p>
      <w:pPr>
        <w:spacing w:after="120"/>
      </w:pPr>
    </w:p>
    <w:p>
      <w:pPr>
        <w:spacing w:after="120" w:before="0" w:line="276"/>
      </w:pPr>
      <w:r>
        <w:rPr>
          <w:b/>
          <w:bCs/>
        </w:rPr>
        <w:t xml:space="preserve">Hinweis:</w:t>
      </w:r>
      <w:r>
        <w:t xml:space="preserve"> Die CPC-Aktion gegen Zalando zeigt, dass Icons und Plattform-Flags als Siegel oder Umweltaussagen gewertet werden können (RB Kap. 1.6) </w:t>
      </w:r>
      <w:r>
        <w:rPr>
          <w:color w:val="5E6B78"/>
          <w:sz w:val="18"/>
          <w:szCs w:val="18"/>
        </w:rPr>
        <w:t xml:space="preserve">[I1]</w:t>
      </w:r>
      <w:r>
        <w:t xml:space="preserve">.</w:t>
      </w:r>
    </w:p>
    <w:p>
      <w:pPr>
        <w:pStyle w:val="Heading2"/>
        <w:keepNext/>
      </w:pPr>
      <w:r>
        <w:t xml:space="preserve">10.3 Zukunftsaussage „klimaneutral bis 2035“</w:t>
      </w:r>
    </w:p>
    <w:p>
      <w:pPr>
        <w:spacing w:after="120" w:before="0" w:line="276"/>
      </w:pPr>
      <w:r>
        <w:rPr>
          <w:b/>
          <w:bCs/>
        </w:rPr>
        <w:t xml:space="preserve">Sachverhalt:</w:t>
      </w:r>
      <w:r>
        <w:t xml:space="preserve"> Ein Unternehmen wirbt auf Website und Verpackung mit „Wir werden bis 2035 klimaneutral“.</w:t>
      </w:r>
    </w:p>
    <w:p>
      <w:pPr>
        <w:spacing w:after="120" w:before="0" w:line="276"/>
      </w:pPr>
      <w:r>
        <w:rPr>
          <w:b/>
          <w:bCs/>
        </w:rPr>
        <w:t xml:space="preserve">Einordnung:</w:t>
      </w:r>
      <w:r>
        <w:t xml:space="preserve"> Zulässig nur mit einem detaillierten, realistischen Umsetzungsplan mit messbaren, zeitgebundenen Zielen und zugewiesenen Ressourcen, den ein unabhängiger externer Sachverständiger regelmäßig prüft und dessen Prüfergebnisse Verbrauchern zugänglich sind (A6) </w:t>
      </w:r>
      <w:r>
        <w:rPr>
          <w:color w:val="5E6B78"/>
          <w:sz w:val="18"/>
          <w:szCs w:val="18"/>
        </w:rPr>
        <w:t xml:space="preserve">[R1]</w:t>
      </w:r>
      <w:r>
        <w:t xml:space="preserve">. Die Kommission hält einen Zugang über QR-Code für möglich </w:t>
      </w:r>
      <w:r>
        <w:rPr>
          <w:color w:val="5E6B78"/>
          <w:sz w:val="18"/>
          <w:szCs w:val="18"/>
        </w:rPr>
        <w:t xml:space="preserve">[B1]</w:t>
      </w:r>
      <w:r>
        <w:t xml:space="preserve">. Das IDW hat Mustervermerke für die Prüfung solcher Umsetzungspläne veröffentlicht </w:t>
      </w:r>
      <w:r>
        <w:rPr>
          <w:color w:val="5E6B78"/>
          <w:sz w:val="18"/>
          <w:szCs w:val="18"/>
        </w:rPr>
        <w:t xml:space="preserve">[B4]</w:t>
      </w:r>
      <w:r>
        <w:t xml:space="preserve">. Stützt sich eine Aussage auf Kompensation und betrifft sie ein Produkt, greift zusätzlich A5.</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963"/>
        <w:gridCol w:w="8675"/>
      </w:tblGrid>
      <w:tr>
        <w:trPr>
          <w:cantSplit/>
          <w:tblHeader/>
        </w:trPr>
        <w:tc>
          <w:tcPr>
            <w:tcW w:type="dxa" w:w="963"/>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System</w:t>
            </w:r>
          </w:p>
        </w:tc>
        <w:tc>
          <w:tcPr>
            <w:tcW w:type="dxa" w:w="8675"/>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Behandlung</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RMS</w:t>
            </w:r>
          </w:p>
        </w:tc>
        <w:tc>
          <w:tcPr>
            <w:tcW w:type="dxa" w:w="8675"/>
            <w:tcMar>
              <w:top w:type="dxa" w:w="50"/>
              <w:left w:type="dxa" w:w="90"/>
              <w:bottom w:type="dxa" w:w="50"/>
              <w:right w:type="dxa" w:w="90"/>
            </w:tcMar>
            <w:vAlign w:val="top"/>
          </w:tcPr>
          <w:p>
            <w:pPr>
              <w:spacing w:after="30" w:before="0" w:line="252"/>
            </w:pPr>
            <w:r>
              <w:rPr>
                <w:b w:val="false"/>
                <w:bCs w:val="false"/>
                <w:sz w:val="18"/>
                <w:szCs w:val="18"/>
              </w:rPr>
              <w:t xml:space="preserve">Strategisches Risiko: Zielverfehlung macht die Aussage irreführend. Dazu Kosten der externen Prüfung und Reputations­risiko bei öffentlich sichtbarer Zielabweichung.</w:t>
            </w:r>
          </w:p>
        </w:tc>
      </w:tr>
      <w:tr>
        <w:trPr>
          <w:cantSplit/>
        </w:trPr>
        <w:tc>
          <w:tcPr>
            <w:tcW w:type="dxa" w:w="963"/>
            <w:shd w:fill="F3F5F7" w:color="auto" w:val="clear"/>
            <w:tcMar>
              <w:top w:type="dxa" w:w="50"/>
              <w:left w:type="dxa" w:w="90"/>
              <w:bottom w:type="dxa" w:w="50"/>
              <w:right w:type="dxa" w:w="90"/>
            </w:tcMar>
            <w:vAlign w:val="top"/>
          </w:tcPr>
          <w:p>
            <w:pPr>
              <w:spacing w:after="30" w:before="0" w:line="252"/>
            </w:pPr>
            <w:r>
              <w:rPr>
                <w:b/>
                <w:bCs/>
                <w:sz w:val="18"/>
                <w:szCs w:val="18"/>
              </w:rPr>
              <w:t xml:space="preserve">CMS</w:t>
            </w:r>
          </w:p>
        </w:tc>
        <w:tc>
          <w:tcPr>
            <w:tcW w:type="dxa" w:w="8675"/>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Sonder­prozess Zukunfts­aussagen: Beschluss der Geschäfts­leitung, Plan, Beauftragung des Prüfers, Veröffentlichung; Verknüpfung mit einem vorhandenen Transitions­plan.</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IKS</w:t>
            </w:r>
          </w:p>
        </w:tc>
        <w:tc>
          <w:tcPr>
            <w:tcW w:type="dxa" w:w="8675"/>
            <w:tcMar>
              <w:top w:type="dxa" w:w="50"/>
              <w:left w:type="dxa" w:w="90"/>
              <w:bottom w:type="dxa" w:w="50"/>
              <w:right w:type="dxa" w:w="90"/>
            </w:tcMar>
            <w:vAlign w:val="top"/>
          </w:tcPr>
          <w:p>
            <w:pPr>
              <w:spacing w:after="30" w:before="0" w:line="252"/>
            </w:pPr>
            <w:r>
              <w:rPr>
                <w:b w:val="false"/>
                <w:bCs w:val="false"/>
                <w:sz w:val="18"/>
                <w:szCs w:val="18"/>
              </w:rPr>
              <w:t xml:space="preserve">K6 vor Freigabe und jährlicher Soll-Ist-Abgleich; K11 Konsistenz­abgleich mit Nachhaltigkeits­bericht und Investoren­kommunikation.</w:t>
            </w:r>
          </w:p>
        </w:tc>
      </w:tr>
    </w:tbl>
    <w:p>
      <w:pPr>
        <w:spacing w:after="120"/>
      </w:pPr>
    </w:p>
    <w:p>
      <w:pPr>
        <w:spacing w:after="120" w:before="0" w:line="276"/>
      </w:pPr>
      <w:r>
        <w:rPr>
          <w:b/>
          <w:bCs/>
        </w:rPr>
        <w:t xml:space="preserve">Empfehlung</w:t>
      </w:r>
      <w:r>
        <w:t xml:space="preserve"> </w:t>
      </w:r>
      <w:r>
        <w:rPr>
          <w:b/>
          <w:bCs/>
          <w:color w:val="1F6F63"/>
          <w:sz w:val="19"/>
          <w:szCs w:val="19"/>
        </w:rPr>
        <w:t xml:space="preserve">[Organisation]</w:t>
      </w:r>
      <w:r>
        <w:t xml:space="preserve">: Zukunftsaussagen gegenüber Verbrauchern nur treffen, wenn das Unternehmen den Prüfaufwand dauerhaft tragen will. Andernfalls auf zulässige Ist-Aussagen umstellen, etwa erreichte und belegte Reduktionen.</w:t>
      </w:r>
    </w:p>
    <w:p>
      <w:pPr>
        <w:pStyle w:val="Heading2"/>
        <w:keepNext/>
      </w:pPr>
      <w:r>
        <w:t xml:space="preserve">10.4 Haltbarkeit und Pflichtinformationen im Onlineshop</w:t>
      </w:r>
    </w:p>
    <w:p>
      <w:pPr>
        <w:spacing w:after="120" w:before="0" w:line="276"/>
      </w:pPr>
      <w:r>
        <w:rPr>
          <w:b/>
          <w:bCs/>
        </w:rPr>
        <w:t xml:space="preserve">Sachverhalt:</w:t>
      </w:r>
      <w:r>
        <w:t xml:space="preserve"> Ein Onlinehändler verkauft Haushaltsgeräte. Ein Hersteller gewährt eine gewerbliche Haltbarkeitsgarantie von fünf Jahren für das ganze Gerät ohne Zusatzkosten; ein anderes Gerät wird mit „extrem langlebig“ beworben.</w:t>
      </w:r>
    </w:p>
    <w:p>
      <w:pPr>
        <w:spacing w:after="120" w:before="0" w:line="276"/>
      </w:pPr>
      <w:r>
        <w:rPr>
          <w:b/>
          <w:bCs/>
        </w:rPr>
        <w:t xml:space="preserve">Einordnung:</w:t>
      </w:r>
      <w:r>
        <w:t xml:space="preserve"> Der Händler muss vor Vertragsschluss den harmonisierten Hinweis zur gesetzlichen Gewährleistung zeigen. Gewährt der Hersteller eine solche Garantie und stellt er dem Händler die Information bereit, kommt das harmonisierte Label hinzu (A11) </w:t>
      </w:r>
      <w:r>
        <w:rPr>
          <w:color w:val="5E6B78"/>
          <w:sz w:val="18"/>
          <w:szCs w:val="18"/>
        </w:rPr>
        <w:t xml:space="preserve">[R3][R5][R6]</w:t>
      </w:r>
      <w:r>
        <w:t xml:space="preserve">. Je nach Produkt folgen Angaben zu Update-Zeiträumen, Reparierbarkeit und Ersatzteilen, soweit eine EU-Reparierbarkeitsbewertung besteht oder der Hersteller die Angaben bereitstellt. „Extrem langlebig“ ist eine Haltbarkeitsaussage; falsche Angaben zur Haltbarkeit unter normalen Nutzungsbedingungen sind per se verboten (A10).</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963"/>
        <w:gridCol w:w="8675"/>
      </w:tblGrid>
      <w:tr>
        <w:trPr>
          <w:cantSplit/>
          <w:tblHeader/>
        </w:trPr>
        <w:tc>
          <w:tcPr>
            <w:tcW w:type="dxa" w:w="963"/>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System</w:t>
            </w:r>
          </w:p>
        </w:tc>
        <w:tc>
          <w:tcPr>
            <w:tcW w:type="dxa" w:w="8675"/>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Behandlung</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RMS</w:t>
            </w:r>
          </w:p>
        </w:tc>
        <w:tc>
          <w:tcPr>
            <w:tcW w:type="dxa" w:w="8675"/>
            <w:tcMar>
              <w:top w:type="dxa" w:w="50"/>
              <w:left w:type="dxa" w:w="90"/>
              <w:bottom w:type="dxa" w:w="50"/>
              <w:right w:type="dxa" w:w="90"/>
            </w:tcMar>
            <w:vAlign w:val="top"/>
          </w:tcPr>
          <w:p>
            <w:pPr>
              <w:spacing w:after="30" w:before="0" w:line="252"/>
            </w:pPr>
            <w:r>
              <w:rPr>
                <w:b w:val="false"/>
                <w:bCs w:val="false"/>
                <w:sz w:val="18"/>
                <w:szCs w:val="18"/>
              </w:rPr>
              <w:t xml:space="preserve">Operatives Risiko (Datenqualität der Hersteller); Rechtsrisiko bei fehlenden oder falschen Pflicht­informationen.</w:t>
            </w:r>
          </w:p>
        </w:tc>
      </w:tr>
      <w:tr>
        <w:trPr>
          <w:cantSplit/>
        </w:trPr>
        <w:tc>
          <w:tcPr>
            <w:tcW w:type="dxa" w:w="963"/>
            <w:shd w:fill="F3F5F7" w:color="auto" w:val="clear"/>
            <w:tcMar>
              <w:top w:type="dxa" w:w="50"/>
              <w:left w:type="dxa" w:w="90"/>
              <w:bottom w:type="dxa" w:w="50"/>
              <w:right w:type="dxa" w:w="90"/>
            </w:tcMar>
            <w:vAlign w:val="top"/>
          </w:tcPr>
          <w:p>
            <w:pPr>
              <w:spacing w:after="30" w:before="0" w:line="252"/>
            </w:pPr>
            <w:r>
              <w:rPr>
                <w:b/>
                <w:bCs/>
                <w:sz w:val="18"/>
                <w:szCs w:val="18"/>
              </w:rPr>
              <w:t xml:space="preserve">CMS</w:t>
            </w:r>
          </w:p>
        </w:tc>
        <w:tc>
          <w:tcPr>
            <w:tcW w:type="dxa" w:w="8675"/>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Pflichten A10 und A11 im Register; Zuständigkeit für Produktdaten; Vereinbarung mit Lieferanten über die Datenlieferung, weil mehrere Pflichtangaben an die Hersteller­daten anknüpfen.</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IKS</w:t>
            </w:r>
          </w:p>
        </w:tc>
        <w:tc>
          <w:tcPr>
            <w:tcW w:type="dxa" w:w="8675"/>
            <w:tcMar>
              <w:top w:type="dxa" w:w="50"/>
              <w:left w:type="dxa" w:w="90"/>
              <w:bottom w:type="dxa" w:w="50"/>
              <w:right w:type="dxa" w:w="90"/>
            </w:tcMar>
            <w:vAlign w:val="top"/>
          </w:tcPr>
          <w:p>
            <w:pPr>
              <w:spacing w:after="30" w:before="0" w:line="252"/>
            </w:pPr>
            <w:r>
              <w:rPr>
                <w:b w:val="false"/>
                <w:bCs w:val="false"/>
                <w:sz w:val="18"/>
                <w:szCs w:val="18"/>
              </w:rPr>
              <w:t xml:space="preserve">K10 Pflicht­felder im PIM; K3 Evidenz für „langlebig“ (Prüfbericht, Herstellerangabe); K7 Aktualisierung bei Datenänderung.</w:t>
            </w:r>
          </w:p>
        </w:tc>
      </w:tr>
    </w:tbl>
    <w:p>
      <w:pPr>
        <w:spacing w:after="120"/>
      </w:pPr>
    </w:p>
    <w:p>
      <w:pPr>
        <w:spacing w:after="120" w:before="0" w:line="276"/>
      </w:pPr>
      <w:r>
        <w:t xml:space="preserve">Mitbewerber können bei fehlenden Online-Informationen nach § 13 Abs. 4 Nr. 1 UWG typischerweise keinen Kostenersatz für die Abmahnung verlangen, Verbände dagegen schon (RB Kap. 3.13) </w:t>
      </w:r>
      <w:r>
        <w:rPr>
          <w:color w:val="5E6B78"/>
          <w:sz w:val="18"/>
          <w:szCs w:val="18"/>
        </w:rPr>
        <w:t xml:space="preserve">[I1]</w:t>
      </w:r>
      <w:r>
        <w:t xml:space="preserve">. Das senkt das Kostenrisiko, nicht aber das Unterlassungsrisiko.</w:t>
      </w:r>
    </w:p>
    <w:p>
      <w:pPr>
        <w:pStyle w:val="Heading2"/>
        <w:keepNext/>
      </w:pPr>
      <w:r>
        <w:t xml:space="preserve">10.5 KI-generierte Produkttexte (Ergänzung)</w:t>
      </w:r>
    </w:p>
    <w:p>
      <w:pPr>
        <w:spacing w:after="120" w:before="0" w:line="276"/>
      </w:pPr>
      <w:r>
        <w:rPr>
          <w:b/>
          <w:bCs/>
        </w:rPr>
        <w:t xml:space="preserve">Sachverhalt:</w:t>
      </w:r>
      <w:r>
        <w:t xml:space="preserve"> Ein Unternehmen lässt Produktbeschreibungen für den Shop mit einem Sprachmodell erzeugen. Einzelne Texte enthalten „nachhaltig produziert“ oder „ressourcenschonend“.</w:t>
      </w:r>
    </w:p>
    <w:p>
      <w:pPr>
        <w:spacing w:after="120" w:before="0" w:line="276"/>
      </w:pPr>
      <w:r>
        <w:rPr>
          <w:b/>
          <w:bCs/>
        </w:rPr>
        <w:t xml:space="preserve">Einordnung:</w:t>
      </w:r>
      <w:r>
        <w:t xml:space="preserve"> Für die Rechtsfolgen ist es unerheblich, wer oder was den Text formuliert hat. Das Unternehmen haftet für seine geschäftlichen Handlungen, auch wenn Beauftragte sie ausführen (A13). KI erhöht die Zahl der Claims und damit das Vollständigkeitsrisiko.</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963"/>
        <w:gridCol w:w="8675"/>
      </w:tblGrid>
      <w:tr>
        <w:trPr>
          <w:cantSplit/>
          <w:tblHeader/>
        </w:trPr>
        <w:tc>
          <w:tcPr>
            <w:tcW w:type="dxa" w:w="963"/>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System</w:t>
            </w:r>
          </w:p>
        </w:tc>
        <w:tc>
          <w:tcPr>
            <w:tcW w:type="dxa" w:w="8675"/>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Behandlung</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RMS</w:t>
            </w:r>
          </w:p>
        </w:tc>
        <w:tc>
          <w:tcPr>
            <w:tcW w:type="dxa" w:w="8675"/>
            <w:tcMar>
              <w:top w:type="dxa" w:w="50"/>
              <w:left w:type="dxa" w:w="90"/>
              <w:bottom w:type="dxa" w:w="50"/>
              <w:right w:type="dxa" w:w="90"/>
            </w:tcMar>
            <w:vAlign w:val="top"/>
          </w:tcPr>
          <w:p>
            <w:pPr>
              <w:spacing w:after="30" w:before="0" w:line="252"/>
            </w:pPr>
            <w:r>
              <w:rPr>
                <w:b w:val="false"/>
                <w:bCs w:val="false"/>
                <w:sz w:val="18"/>
                <w:szCs w:val="18"/>
              </w:rPr>
              <w:t xml:space="preserve">Treiber „automatisierte Content-Erzeugung“ im Claim-Risiko.</w:t>
            </w:r>
          </w:p>
        </w:tc>
      </w:tr>
      <w:tr>
        <w:trPr>
          <w:cantSplit/>
        </w:trPr>
        <w:tc>
          <w:tcPr>
            <w:tcW w:type="dxa" w:w="963"/>
            <w:shd w:fill="F3F5F7" w:color="auto" w:val="clear"/>
            <w:tcMar>
              <w:top w:type="dxa" w:w="50"/>
              <w:left w:type="dxa" w:w="90"/>
              <w:bottom w:type="dxa" w:w="50"/>
              <w:right w:type="dxa" w:w="90"/>
            </w:tcMar>
            <w:vAlign w:val="top"/>
          </w:tcPr>
          <w:p>
            <w:pPr>
              <w:spacing w:after="30" w:before="0" w:line="252"/>
            </w:pPr>
            <w:r>
              <w:rPr>
                <w:b/>
                <w:bCs/>
                <w:sz w:val="18"/>
                <w:szCs w:val="18"/>
              </w:rPr>
              <w:t xml:space="preserve">CMS</w:t>
            </w:r>
          </w:p>
        </w:tc>
        <w:tc>
          <w:tcPr>
            <w:tcW w:type="dxa" w:w="8675"/>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Die KI-Nutzungs­richtlinie verweist auf die Claims-Richtlinie; die Negativliste gilt auch für Prompts und Ausgaben.</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IKS</w:t>
            </w:r>
          </w:p>
        </w:tc>
        <w:tc>
          <w:tcPr>
            <w:tcW w:type="dxa" w:w="8675"/>
            <w:tcMar>
              <w:top w:type="dxa" w:w="50"/>
              <w:left w:type="dxa" w:w="90"/>
              <w:bottom w:type="dxa" w:w="50"/>
              <w:right w:type="dxa" w:w="90"/>
            </w:tcMar>
            <w:vAlign w:val="top"/>
          </w:tcPr>
          <w:p>
            <w:pPr>
              <w:spacing w:after="30" w:before="0" w:line="252"/>
            </w:pPr>
            <w:r>
              <w:rPr>
                <w:b w:val="false"/>
                <w:bCs w:val="false"/>
                <w:sz w:val="18"/>
                <w:szCs w:val="18"/>
              </w:rPr>
              <w:t xml:space="preserve">K2 als automatisierter Filter auf KI-Ausgaben </w:t>
            </w:r>
            <w:r>
              <w:rPr>
                <w:b/>
                <w:bCs/>
                <w:color w:val="5B4B8A"/>
                <w:sz w:val="16"/>
                <w:szCs w:val="16"/>
              </w:rPr>
              <w:t xml:space="preserve">[Best Practice]</w:t>
            </w:r>
            <w:r>
              <w:rPr>
                <w:b w:val="false"/>
                <w:bCs w:val="false"/>
                <w:sz w:val="18"/>
                <w:szCs w:val="18"/>
              </w:rPr>
              <w:t xml:space="preserve">; menschliche Freigabe vor Veröffentlichung </w:t>
            </w:r>
            <w:r>
              <w:rPr>
                <w:b/>
                <w:bCs/>
                <w:color w:val="1F6F63"/>
                <w:sz w:val="16"/>
                <w:szCs w:val="16"/>
              </w:rPr>
              <w:t xml:space="preserve">[Organisation]</w:t>
            </w:r>
            <w:r>
              <w:rPr>
                <w:b w:val="false"/>
                <w:bCs w:val="false"/>
                <w:sz w:val="18"/>
                <w:szCs w:val="18"/>
              </w:rPr>
              <w:t xml:space="preserve">; Protokollierung (RB Kap. 13) </w:t>
            </w:r>
            <w:r>
              <w:rPr>
                <w:b w:val="false"/>
                <w:bCs w:val="false"/>
                <w:color w:val="5E6B78"/>
                <w:sz w:val="15"/>
                <w:szCs w:val="15"/>
              </w:rPr>
              <w:t xml:space="preserve">[I1]</w:t>
            </w:r>
            <w:r>
              <w:rPr>
                <w:b w:val="false"/>
                <w:bCs w:val="false"/>
                <w:sz w:val="18"/>
                <w:szCs w:val="18"/>
              </w:rPr>
              <w:t xml:space="preserve">.</w:t>
            </w:r>
          </w:p>
        </w:tc>
      </w:tr>
    </w:tbl>
    <w:p>
      <w:pPr>
        <w:spacing w:after="120"/>
      </w:pPr>
    </w:p>
    <w:p>
      <w:pPr>
        <w:pStyle w:val="Heading1"/>
        <w:keepNext/>
        <w:pageBreakBefore/>
      </w:pPr>
      <w:r>
        <w:t xml:space="preserve">11 Gemeinsame Elemente und Schnittstellen</w:t>
      </w:r>
    </w:p>
    <w:p>
      <w:pPr>
        <w:spacing w:after="120" w:before="0" w:line="276"/>
      </w:pPr>
      <w:r>
        <w:t xml:space="preserve">Mehrere Artefakte werden von allen drei Systemen genutzt. Sie sollten einmal geführt und mehrfach verwendet werden (eine Datenquelle für alle). Die Tabelle zeigt, wer das Artefakt führt und wie die Systeme es nutzen.</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1638"/>
        <w:gridCol w:w="1638"/>
        <w:gridCol w:w="2120"/>
        <w:gridCol w:w="2023"/>
        <w:gridCol w:w="2219"/>
      </w:tblGrid>
      <w:tr>
        <w:trPr>
          <w:cantSplit/>
          <w:tblHeader/>
        </w:trPr>
        <w:tc>
          <w:tcPr>
            <w:tcW w:type="dxa" w:w="163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Artefakt</w:t>
            </w:r>
          </w:p>
        </w:tc>
        <w:tc>
          <w:tcPr>
            <w:tcW w:type="dxa" w:w="163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Führung</w:t>
            </w:r>
          </w:p>
        </w:tc>
        <w:tc>
          <w:tcPr>
            <w:tcW w:type="dxa" w:w="2120"/>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Nutzung im RMS</w:t>
            </w:r>
          </w:p>
        </w:tc>
        <w:tc>
          <w:tcPr>
            <w:tcW w:type="dxa" w:w="202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Nutzung im CMS</w:t>
            </w:r>
          </w:p>
        </w:tc>
        <w:tc>
          <w:tcPr>
            <w:tcW w:type="dxa" w:w="2219"/>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Nutzung im IKS</w:t>
            </w:r>
          </w:p>
        </w:tc>
      </w:tr>
      <w:tr>
        <w:trPr>
          <w:cantSplit/>
        </w:trPr>
        <w:tc>
          <w:tcPr>
            <w:tcW w:type="dxa" w:w="1638"/>
            <w:tcMar>
              <w:top w:type="dxa" w:w="50"/>
              <w:left w:type="dxa" w:w="90"/>
              <w:bottom w:type="dxa" w:w="50"/>
              <w:right w:type="dxa" w:w="90"/>
            </w:tcMar>
            <w:vAlign w:val="top"/>
          </w:tcPr>
          <w:p>
            <w:pPr>
              <w:spacing w:after="30" w:before="0" w:line="252"/>
            </w:pPr>
            <w:r>
              <w:rPr>
                <w:b/>
                <w:bCs/>
                <w:sz w:val="17"/>
                <w:szCs w:val="17"/>
              </w:rPr>
              <w:t xml:space="preserve">Claim-Register</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Claim-Governance-Owner</w:t>
            </w:r>
          </w:p>
        </w:tc>
        <w:tc>
          <w:tcPr>
            <w:tcW w:type="dxa" w:w="2120"/>
            <w:tcMar>
              <w:top w:type="dxa" w:w="50"/>
              <w:left w:type="dxa" w:w="90"/>
              <w:bottom w:type="dxa" w:w="50"/>
              <w:right w:type="dxa" w:w="90"/>
            </w:tcMar>
            <w:vAlign w:val="top"/>
          </w:tcPr>
          <w:p>
            <w:pPr>
              <w:spacing w:after="30" w:before="0" w:line="252"/>
            </w:pPr>
            <w:r>
              <w:rPr>
                <w:b w:val="false"/>
                <w:bCs w:val="false"/>
                <w:sz w:val="17"/>
                <w:szCs w:val="17"/>
              </w:rPr>
              <w:t xml:space="preserve">Exposition (Zahl, Klassen, Kanäle) als Bewertungsgrundlage</w:t>
            </w:r>
          </w:p>
        </w:tc>
        <w:tc>
          <w:tcPr>
            <w:tcW w:type="dxa" w:w="2023"/>
            <w:tcMar>
              <w:top w:type="dxa" w:w="50"/>
              <w:left w:type="dxa" w:w="90"/>
              <w:bottom w:type="dxa" w:w="50"/>
              <w:right w:type="dxa" w:w="90"/>
            </w:tcMar>
            <w:vAlign w:val="top"/>
          </w:tcPr>
          <w:p>
            <w:pPr>
              <w:spacing w:after="30" w:before="0" w:line="252"/>
            </w:pPr>
            <w:r>
              <w:rPr>
                <w:b w:val="false"/>
                <w:bCs w:val="false"/>
                <w:sz w:val="17"/>
                <w:szCs w:val="17"/>
              </w:rPr>
              <w:t xml:space="preserve">Vollständigkeit, Pflichtenbezug, Überwachung</w:t>
            </w:r>
          </w:p>
        </w:tc>
        <w:tc>
          <w:tcPr>
            <w:tcW w:type="dxa" w:w="2219"/>
            <w:tcMar>
              <w:top w:type="dxa" w:w="50"/>
              <w:left w:type="dxa" w:w="90"/>
              <w:bottom w:type="dxa" w:w="50"/>
              <w:right w:type="dxa" w:w="90"/>
            </w:tcMar>
            <w:vAlign w:val="top"/>
          </w:tcPr>
          <w:p>
            <w:pPr>
              <w:spacing w:after="30" w:before="0" w:line="252"/>
            </w:pPr>
            <w:r>
              <w:rPr>
                <w:b w:val="false"/>
                <w:bCs w:val="false"/>
                <w:sz w:val="17"/>
                <w:szCs w:val="17"/>
              </w:rPr>
              <w:t xml:space="preserve">Grundgesamtheit für Stichproben und Tests; Bezugspunkt des Gates (K1)</w:t>
            </w:r>
          </w:p>
        </w:tc>
      </w:tr>
      <w:tr>
        <w:trPr>
          <w:cantSplit/>
        </w:trPr>
        <w:tc>
          <w:tcPr>
            <w:tcW w:type="dxa" w:w="1638"/>
            <w:shd w:fill="F3F5F7" w:color="auto" w:val="clear"/>
            <w:tcMar>
              <w:top w:type="dxa" w:w="50"/>
              <w:left w:type="dxa" w:w="90"/>
              <w:bottom w:type="dxa" w:w="50"/>
              <w:right w:type="dxa" w:w="90"/>
            </w:tcMar>
            <w:vAlign w:val="top"/>
          </w:tcPr>
          <w:p>
            <w:pPr>
              <w:spacing w:after="30" w:before="0" w:line="252"/>
            </w:pPr>
            <w:r>
              <w:rPr>
                <w:b/>
                <w:bCs/>
                <w:sz w:val="17"/>
                <w:szCs w:val="17"/>
              </w:rPr>
              <w:t xml:space="preserve">Evidenz­dossier je Claim</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fachlicher Claim-Owner</w:t>
            </w:r>
          </w:p>
        </w:tc>
        <w:tc>
          <w:tcPr>
            <w:tcW w:type="dxa" w:w="21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02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Dokumentationsvorgabe</w:t>
            </w:r>
          </w:p>
        </w:tc>
        <w:tc>
          <w:tcPr>
            <w:tcW w:type="dxa" w:w="221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Kontroll­nachweis (K3, K5, K6); 48-Stunden-Test</w:t>
            </w:r>
          </w:p>
        </w:tc>
      </w:tr>
      <w:tr>
        <w:trPr>
          <w:cantSplit/>
        </w:trPr>
        <w:tc>
          <w:tcPr>
            <w:tcW w:type="dxa" w:w="1638"/>
            <w:tcMar>
              <w:top w:type="dxa" w:w="50"/>
              <w:left w:type="dxa" w:w="90"/>
              <w:bottom w:type="dxa" w:w="50"/>
              <w:right w:type="dxa" w:w="90"/>
            </w:tcMar>
            <w:vAlign w:val="top"/>
          </w:tcPr>
          <w:p>
            <w:pPr>
              <w:spacing w:after="30" w:before="0" w:line="252"/>
            </w:pPr>
            <w:r>
              <w:rPr>
                <w:b/>
                <w:bCs/>
                <w:sz w:val="17"/>
                <w:szCs w:val="17"/>
              </w:rPr>
              <w:t xml:space="preserve">Negativliste und Claim-Bibliothek</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Compliance mit Legal</w:t>
            </w:r>
          </w:p>
        </w:tc>
        <w:tc>
          <w:tcPr>
            <w:tcW w:type="dxa" w:w="2120"/>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023"/>
            <w:tcMar>
              <w:top w:type="dxa" w:w="50"/>
              <w:left w:type="dxa" w:w="90"/>
              <w:bottom w:type="dxa" w:w="50"/>
              <w:right w:type="dxa" w:w="90"/>
            </w:tcMar>
            <w:vAlign w:val="top"/>
          </w:tcPr>
          <w:p>
            <w:pPr>
              <w:spacing w:after="30" w:before="0" w:line="252"/>
            </w:pPr>
            <w:r>
              <w:rPr>
                <w:b w:val="false"/>
                <w:bCs w:val="false"/>
                <w:sz w:val="17"/>
                <w:szCs w:val="17"/>
              </w:rPr>
              <w:t xml:space="preserve">Inhalt der Richtlinie</w:t>
            </w:r>
          </w:p>
        </w:tc>
        <w:tc>
          <w:tcPr>
            <w:tcW w:type="dxa" w:w="2219"/>
            <w:tcMar>
              <w:top w:type="dxa" w:w="50"/>
              <w:left w:type="dxa" w:w="90"/>
              <w:bottom w:type="dxa" w:w="50"/>
              <w:right w:type="dxa" w:w="90"/>
            </w:tcMar>
            <w:vAlign w:val="top"/>
          </w:tcPr>
          <w:p>
            <w:pPr>
              <w:spacing w:after="30" w:before="0" w:line="252"/>
            </w:pPr>
            <w:r>
              <w:rPr>
                <w:b w:val="false"/>
                <w:bCs w:val="false"/>
                <w:sz w:val="17"/>
                <w:szCs w:val="17"/>
              </w:rPr>
              <w:t xml:space="preserve">Prüfkriterium (K2), gegebenenfalls automatisiert</w:t>
            </w:r>
          </w:p>
        </w:tc>
      </w:tr>
      <w:tr>
        <w:trPr>
          <w:cantSplit/>
        </w:trPr>
        <w:tc>
          <w:tcPr>
            <w:tcW w:type="dxa" w:w="1638"/>
            <w:shd w:fill="F3F5F7" w:color="auto" w:val="clear"/>
            <w:tcMar>
              <w:top w:type="dxa" w:w="50"/>
              <w:left w:type="dxa" w:w="90"/>
              <w:bottom w:type="dxa" w:w="50"/>
              <w:right w:type="dxa" w:w="90"/>
            </w:tcMar>
            <w:vAlign w:val="top"/>
          </w:tcPr>
          <w:p>
            <w:pPr>
              <w:spacing w:after="30" w:before="0" w:line="252"/>
            </w:pPr>
            <w:r>
              <w:rPr>
                <w:b/>
                <w:bCs/>
                <w:sz w:val="17"/>
                <w:szCs w:val="17"/>
              </w:rPr>
              <w:t xml:space="preserve">Freigabe­matrix</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Geschäfts­leitung (Beschluss)</w:t>
            </w:r>
          </w:p>
        </w:tc>
        <w:tc>
          <w:tcPr>
            <w:tcW w:type="dxa" w:w="21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Risiko­appetit spiegelt sich in den Freigabestufen</w:t>
            </w:r>
          </w:p>
        </w:tc>
        <w:tc>
          <w:tcPr>
            <w:tcW w:type="dxa" w:w="202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Organisation, Kompetenzen</w:t>
            </w:r>
          </w:p>
        </w:tc>
        <w:tc>
          <w:tcPr>
            <w:tcW w:type="dxa" w:w="221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Autorisierungs­kontrolle (K4)</w:t>
            </w:r>
          </w:p>
        </w:tc>
      </w:tr>
      <w:tr>
        <w:trPr>
          <w:cantSplit/>
        </w:trPr>
        <w:tc>
          <w:tcPr>
            <w:tcW w:type="dxa" w:w="1638"/>
            <w:tcMar>
              <w:top w:type="dxa" w:w="50"/>
              <w:left w:type="dxa" w:w="90"/>
              <w:bottom w:type="dxa" w:w="50"/>
              <w:right w:type="dxa" w:w="90"/>
            </w:tcMar>
            <w:vAlign w:val="top"/>
          </w:tcPr>
          <w:p>
            <w:pPr>
              <w:spacing w:after="30" w:before="0" w:line="252"/>
            </w:pPr>
            <w:r>
              <w:rPr>
                <w:b/>
                <w:bCs/>
                <w:sz w:val="17"/>
                <w:szCs w:val="17"/>
              </w:rPr>
              <w:t xml:space="preserve">Label-Register</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Produkt, QM</w:t>
            </w:r>
          </w:p>
        </w:tc>
        <w:tc>
          <w:tcPr>
            <w:tcW w:type="dxa" w:w="2120"/>
            <w:tcMar>
              <w:top w:type="dxa" w:w="50"/>
              <w:left w:type="dxa" w:w="90"/>
              <w:bottom w:type="dxa" w:w="50"/>
              <w:right w:type="dxa" w:w="90"/>
            </w:tcMar>
            <w:vAlign w:val="top"/>
          </w:tcPr>
          <w:p>
            <w:pPr>
              <w:spacing w:after="30" w:before="0" w:line="252"/>
            </w:pPr>
            <w:r>
              <w:rPr>
                <w:b w:val="false"/>
                <w:bCs w:val="false"/>
                <w:sz w:val="17"/>
                <w:szCs w:val="17"/>
              </w:rPr>
              <w:t xml:space="preserve">Treiber (Laufzeiten, Lizenzen)</w:t>
            </w:r>
          </w:p>
        </w:tc>
        <w:tc>
          <w:tcPr>
            <w:tcW w:type="dxa" w:w="2023"/>
            <w:tcMar>
              <w:top w:type="dxa" w:w="50"/>
              <w:left w:type="dxa" w:w="90"/>
              <w:bottom w:type="dxa" w:w="50"/>
              <w:right w:type="dxa" w:w="90"/>
            </w:tcMar>
            <w:vAlign w:val="top"/>
          </w:tcPr>
          <w:p>
            <w:pPr>
              <w:spacing w:after="30" w:before="0" w:line="252"/>
            </w:pPr>
            <w:r>
              <w:rPr>
                <w:b w:val="false"/>
                <w:bCs w:val="false"/>
                <w:sz w:val="17"/>
                <w:szCs w:val="17"/>
              </w:rPr>
              <w:t xml:space="preserve">Pflicht A3</w:t>
            </w:r>
          </w:p>
        </w:tc>
        <w:tc>
          <w:tcPr>
            <w:tcW w:type="dxa" w:w="2219"/>
            <w:tcMar>
              <w:top w:type="dxa" w:w="50"/>
              <w:left w:type="dxa" w:w="90"/>
              <w:bottom w:type="dxa" w:w="50"/>
              <w:right w:type="dxa" w:w="90"/>
            </w:tcMar>
            <w:vAlign w:val="top"/>
          </w:tcPr>
          <w:p>
            <w:pPr>
              <w:spacing w:after="30" w:before="0" w:line="252"/>
            </w:pPr>
            <w:r>
              <w:rPr>
                <w:b w:val="false"/>
                <w:bCs w:val="false"/>
                <w:sz w:val="17"/>
                <w:szCs w:val="17"/>
              </w:rPr>
              <w:t xml:space="preserve">K5</w:t>
            </w:r>
          </w:p>
        </w:tc>
      </w:tr>
      <w:tr>
        <w:trPr>
          <w:cantSplit/>
        </w:trPr>
        <w:tc>
          <w:tcPr>
            <w:tcW w:type="dxa" w:w="1638"/>
            <w:shd w:fill="F3F5F7" w:color="auto" w:val="clear"/>
            <w:tcMar>
              <w:top w:type="dxa" w:w="50"/>
              <w:left w:type="dxa" w:w="90"/>
              <w:bottom w:type="dxa" w:w="50"/>
              <w:right w:type="dxa" w:w="90"/>
            </w:tcMar>
            <w:vAlign w:val="top"/>
          </w:tcPr>
          <w:p>
            <w:pPr>
              <w:spacing w:after="30" w:before="0" w:line="252"/>
            </w:pPr>
            <w:r>
              <w:rPr>
                <w:b/>
                <w:bCs/>
                <w:sz w:val="17"/>
                <w:szCs w:val="17"/>
              </w:rPr>
              <w:t xml:space="preserve">Kennzahlen</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Risiko­management, Compliance</w:t>
            </w:r>
          </w:p>
        </w:tc>
        <w:tc>
          <w:tcPr>
            <w:tcW w:type="dxa" w:w="21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Risiko­bericht</w:t>
            </w:r>
          </w:p>
        </w:tc>
        <w:tc>
          <w:tcPr>
            <w:tcW w:type="dxa" w:w="202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Compliance-Bericht</w:t>
            </w:r>
          </w:p>
        </w:tc>
        <w:tc>
          <w:tcPr>
            <w:tcW w:type="dxa" w:w="221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Datenquelle: Register und Kontrollergebnisse</w:t>
            </w:r>
          </w:p>
        </w:tc>
      </w:tr>
      <w:tr>
        <w:trPr>
          <w:cantSplit/>
        </w:trPr>
        <w:tc>
          <w:tcPr>
            <w:tcW w:type="dxa" w:w="1638"/>
            <w:tcMar>
              <w:top w:type="dxa" w:w="50"/>
              <w:left w:type="dxa" w:w="90"/>
              <w:bottom w:type="dxa" w:w="50"/>
              <w:right w:type="dxa" w:w="90"/>
            </w:tcMar>
            <w:vAlign w:val="top"/>
          </w:tcPr>
          <w:p>
            <w:pPr>
              <w:spacing w:after="30" w:before="0" w:line="252"/>
            </w:pPr>
            <w:r>
              <w:rPr>
                <w:b/>
                <w:bCs/>
                <w:sz w:val="17"/>
                <w:szCs w:val="17"/>
              </w:rPr>
              <w:t xml:space="preserve">Schulungs­nachweise</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HR, Compliance</w:t>
            </w:r>
          </w:p>
        </w:tc>
        <w:tc>
          <w:tcPr>
            <w:tcW w:type="dxa" w:w="2120"/>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023"/>
            <w:tcMar>
              <w:top w:type="dxa" w:w="50"/>
              <w:left w:type="dxa" w:w="90"/>
              <w:bottom w:type="dxa" w:w="50"/>
              <w:right w:type="dxa" w:w="90"/>
            </w:tcMar>
            <w:vAlign w:val="top"/>
          </w:tcPr>
          <w:p>
            <w:pPr>
              <w:spacing w:after="30" w:before="0" w:line="252"/>
            </w:pPr>
            <w:r>
              <w:rPr>
                <w:b w:val="false"/>
                <w:bCs w:val="false"/>
                <w:sz w:val="17"/>
                <w:szCs w:val="17"/>
              </w:rPr>
              <w:t xml:space="preserve">Organisations­nachweis</w:t>
            </w:r>
          </w:p>
        </w:tc>
        <w:tc>
          <w:tcPr>
            <w:tcW w:type="dxa" w:w="2219"/>
            <w:tcMar>
              <w:top w:type="dxa" w:w="50"/>
              <w:left w:type="dxa" w:w="90"/>
              <w:bottom w:type="dxa" w:w="50"/>
              <w:right w:type="dxa" w:w="90"/>
            </w:tcMar>
            <w:vAlign w:val="top"/>
          </w:tcPr>
          <w:p>
            <w:pPr>
              <w:spacing w:after="30" w:before="0" w:line="252"/>
            </w:pPr>
            <w:r>
              <w:rPr>
                <w:b w:val="false"/>
                <w:bCs w:val="false"/>
                <w:sz w:val="17"/>
                <w:szCs w:val="17"/>
              </w:rPr>
              <w:t xml:space="preserve">Kontrollum­feld</w:t>
            </w:r>
          </w:p>
        </w:tc>
      </w:tr>
      <w:tr>
        <w:trPr>
          <w:cantSplit/>
        </w:trPr>
        <w:tc>
          <w:tcPr>
            <w:tcW w:type="dxa" w:w="1638"/>
            <w:shd w:fill="F3F5F7" w:color="auto" w:val="clear"/>
            <w:tcMar>
              <w:top w:type="dxa" w:w="50"/>
              <w:left w:type="dxa" w:w="90"/>
              <w:bottom w:type="dxa" w:w="50"/>
              <w:right w:type="dxa" w:w="90"/>
            </w:tcMar>
            <w:vAlign w:val="top"/>
          </w:tcPr>
          <w:p>
            <w:pPr>
              <w:spacing w:after="30" w:before="0" w:line="252"/>
            </w:pPr>
            <w:r>
              <w:rPr>
                <w:b/>
                <w:bCs/>
                <w:sz w:val="17"/>
                <w:szCs w:val="17"/>
              </w:rPr>
              <w:t xml:space="preserve">Beanstandungen und Abmahnungen</w:t>
            </w:r>
          </w:p>
        </w:tc>
        <w:tc>
          <w:tcPr>
            <w:tcW w:type="dxa" w:w="163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Compliance, Legal</w:t>
            </w:r>
          </w:p>
        </w:tc>
        <w:tc>
          <w:tcPr>
            <w:tcW w:type="dxa" w:w="21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Risikoereignisse; Kalibrierung der Bewertung</w:t>
            </w:r>
          </w:p>
        </w:tc>
        <w:tc>
          <w:tcPr>
            <w:tcW w:type="dxa" w:w="2023"/>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Fallbearbeitung, Verbesserung</w:t>
            </w:r>
          </w:p>
        </w:tc>
        <w:tc>
          <w:tcPr>
            <w:tcW w:type="dxa" w:w="221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K12; Ursachen­analyse; Anpassung der Kontrollen</w:t>
            </w:r>
          </w:p>
        </w:tc>
      </w:tr>
      <w:tr>
        <w:trPr>
          <w:cantSplit/>
        </w:trPr>
        <w:tc>
          <w:tcPr>
            <w:tcW w:type="dxa" w:w="1638"/>
            <w:tcMar>
              <w:top w:type="dxa" w:w="50"/>
              <w:left w:type="dxa" w:w="90"/>
              <w:bottom w:type="dxa" w:w="50"/>
              <w:right w:type="dxa" w:w="90"/>
            </w:tcMar>
            <w:vAlign w:val="top"/>
          </w:tcPr>
          <w:p>
            <w:pPr>
              <w:spacing w:after="30" w:before="0" w:line="252"/>
            </w:pPr>
            <w:r>
              <w:rPr>
                <w:b/>
                <w:bCs/>
                <w:sz w:val="17"/>
                <w:szCs w:val="17"/>
              </w:rPr>
              <w:t xml:space="preserve">Lieferanten­nachweise</w:t>
            </w:r>
          </w:p>
        </w:tc>
        <w:tc>
          <w:tcPr>
            <w:tcW w:type="dxa" w:w="1638"/>
            <w:tcMar>
              <w:top w:type="dxa" w:w="50"/>
              <w:left w:type="dxa" w:w="90"/>
              <w:bottom w:type="dxa" w:w="50"/>
              <w:right w:type="dxa" w:w="90"/>
            </w:tcMar>
            <w:vAlign w:val="top"/>
          </w:tcPr>
          <w:p>
            <w:pPr>
              <w:spacing w:after="30" w:before="0" w:line="252"/>
            </w:pPr>
            <w:r>
              <w:rPr>
                <w:b w:val="false"/>
                <w:bCs w:val="false"/>
                <w:sz w:val="17"/>
                <w:szCs w:val="17"/>
              </w:rPr>
              <w:t xml:space="preserve">Einkauf</w:t>
            </w:r>
          </w:p>
        </w:tc>
        <w:tc>
          <w:tcPr>
            <w:tcW w:type="dxa" w:w="2120"/>
            <w:tcMar>
              <w:top w:type="dxa" w:w="50"/>
              <w:left w:type="dxa" w:w="90"/>
              <w:bottom w:type="dxa" w:w="50"/>
              <w:right w:type="dxa" w:w="90"/>
            </w:tcMar>
            <w:vAlign w:val="top"/>
          </w:tcPr>
          <w:p>
            <w:pPr>
              <w:spacing w:after="30" w:before="0" w:line="252"/>
            </w:pPr>
            <w:r>
              <w:rPr>
                <w:b w:val="false"/>
                <w:bCs w:val="false"/>
                <w:sz w:val="17"/>
                <w:szCs w:val="17"/>
              </w:rPr>
              <w:t xml:space="preserve">Treiber Lieferanten­risiko</w:t>
            </w:r>
          </w:p>
        </w:tc>
        <w:tc>
          <w:tcPr>
            <w:tcW w:type="dxa" w:w="2023"/>
            <w:tcMar>
              <w:top w:type="dxa" w:w="50"/>
              <w:left w:type="dxa" w:w="90"/>
              <w:bottom w:type="dxa" w:w="50"/>
              <w:right w:type="dxa" w:w="90"/>
            </w:tcMar>
            <w:vAlign w:val="top"/>
          </w:tcPr>
          <w:p>
            <w:pPr>
              <w:spacing w:after="30" w:before="0" w:line="252"/>
            </w:pPr>
            <w:r>
              <w:rPr>
                <w:b w:val="false"/>
                <w:bCs w:val="false"/>
                <w:sz w:val="17"/>
                <w:szCs w:val="17"/>
              </w:rPr>
              <w:t xml:space="preserve">Vertragsklauseln</w:t>
            </w:r>
          </w:p>
        </w:tc>
        <w:tc>
          <w:tcPr>
            <w:tcW w:type="dxa" w:w="2219"/>
            <w:tcMar>
              <w:top w:type="dxa" w:w="50"/>
              <w:left w:type="dxa" w:w="90"/>
              <w:bottom w:type="dxa" w:w="50"/>
              <w:right w:type="dxa" w:w="90"/>
            </w:tcMar>
            <w:vAlign w:val="top"/>
          </w:tcPr>
          <w:p>
            <w:pPr>
              <w:spacing w:after="30" w:before="0" w:line="252"/>
            </w:pPr>
            <w:r>
              <w:rPr>
                <w:b w:val="false"/>
                <w:bCs w:val="false"/>
                <w:sz w:val="17"/>
                <w:szCs w:val="17"/>
              </w:rPr>
              <w:t xml:space="preserve">Wareneingangs- und Gültigkeits­kontrolle (K7)</w:t>
            </w:r>
          </w:p>
        </w:tc>
      </w:tr>
    </w:tbl>
    <w:p>
      <w:pPr>
        <w:spacing w:after="120"/>
      </w:pPr>
    </w:p>
    <w:p>
      <w:pPr>
        <w:pStyle w:val="Heading3"/>
        <w:keepNext/>
      </w:pPr>
      <w:r>
        <w:t xml:space="preserve">Schnittstellen zu den Fachbereichen</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120"/>
        <w:gridCol w:w="4240"/>
        <w:gridCol w:w="3278"/>
      </w:tblGrid>
      <w:tr>
        <w:trPr>
          <w:cantSplit/>
          <w:tblHeader/>
        </w:trPr>
        <w:tc>
          <w:tcPr>
            <w:tcW w:type="dxa" w:w="2120"/>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Bereich</w:t>
            </w:r>
          </w:p>
        </w:tc>
        <w:tc>
          <w:tcPr>
            <w:tcW w:type="dxa" w:w="4240"/>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Rolle bei Claims</w:t>
            </w:r>
          </w:p>
        </w:tc>
        <w:tc>
          <w:tcPr>
            <w:tcW w:type="dxa" w:w="327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Schnittstelle zu</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Marketing, Kommunikation</w:t>
            </w:r>
          </w:p>
        </w:tc>
        <w:tc>
          <w:tcPr>
            <w:tcW w:type="dxa" w:w="4240"/>
            <w:tcMar>
              <w:top w:type="dxa" w:w="50"/>
              <w:left w:type="dxa" w:w="90"/>
              <w:bottom w:type="dxa" w:w="50"/>
              <w:right w:type="dxa" w:w="90"/>
            </w:tcMar>
            <w:vAlign w:val="top"/>
          </w:tcPr>
          <w:p>
            <w:pPr>
              <w:spacing w:after="30" w:before="0" w:line="252"/>
            </w:pPr>
            <w:r>
              <w:rPr>
                <w:b w:val="false"/>
                <w:bCs w:val="false"/>
                <w:sz w:val="17"/>
                <w:szCs w:val="17"/>
              </w:rPr>
              <w:t xml:space="preserve">Hauptentstehungsort; erste Linie</w:t>
            </w:r>
          </w:p>
        </w:tc>
        <w:tc>
          <w:tcPr>
            <w:tcW w:type="dxa" w:w="3278"/>
            <w:tcMar>
              <w:top w:type="dxa" w:w="50"/>
              <w:left w:type="dxa" w:w="90"/>
              <w:bottom w:type="dxa" w:w="50"/>
              <w:right w:type="dxa" w:w="90"/>
            </w:tcMar>
            <w:vAlign w:val="top"/>
          </w:tcPr>
          <w:p>
            <w:pPr>
              <w:spacing w:after="30" w:before="0" w:line="252"/>
            </w:pPr>
            <w:r>
              <w:rPr>
                <w:b w:val="false"/>
                <w:bCs w:val="false"/>
                <w:sz w:val="17"/>
                <w:szCs w:val="17"/>
              </w:rPr>
              <w:t xml:space="preserve">CMS (Regeln, Schulung); IKS (K1, K2, K4, K9)</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Produkt­management, Entwicklung</w:t>
            </w:r>
          </w:p>
        </w:tc>
        <w:tc>
          <w:tcPr>
            <w:tcW w:type="dxa" w:w="424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Produktnamen, Haltbarkeit, Reparierbarkeit, Updates; Claims schon im Produktdesign festlegen</w:t>
            </w:r>
          </w:p>
        </w:tc>
        <w:tc>
          <w:tcPr>
            <w:tcW w:type="dxa" w:w="327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 (A10); IKS (Stage-Gate, K3, K7)</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E-Commerce, Produktdaten</w:t>
            </w:r>
          </w:p>
        </w:tc>
        <w:tc>
          <w:tcPr>
            <w:tcW w:type="dxa" w:w="4240"/>
            <w:tcMar>
              <w:top w:type="dxa" w:w="50"/>
              <w:left w:type="dxa" w:w="90"/>
              <w:bottom w:type="dxa" w:w="50"/>
              <w:right w:type="dxa" w:w="90"/>
            </w:tcMar>
            <w:vAlign w:val="top"/>
          </w:tcPr>
          <w:p>
            <w:pPr>
              <w:spacing w:after="30" w:before="0" w:line="252"/>
            </w:pPr>
            <w:r>
              <w:rPr>
                <w:b w:val="false"/>
                <w:bCs w:val="false"/>
                <w:sz w:val="17"/>
                <w:szCs w:val="17"/>
              </w:rPr>
              <w:t xml:space="preserve">Pflicht­informationen, Produkttexte</w:t>
            </w:r>
          </w:p>
        </w:tc>
        <w:tc>
          <w:tcPr>
            <w:tcW w:type="dxa" w:w="3278"/>
            <w:tcMar>
              <w:top w:type="dxa" w:w="50"/>
              <w:left w:type="dxa" w:w="90"/>
              <w:bottom w:type="dxa" w:w="50"/>
              <w:right w:type="dxa" w:w="90"/>
            </w:tcMar>
            <w:vAlign w:val="top"/>
          </w:tcPr>
          <w:p>
            <w:pPr>
              <w:spacing w:after="30" w:before="0" w:line="252"/>
            </w:pPr>
            <w:r>
              <w:rPr>
                <w:b w:val="false"/>
                <w:bCs w:val="false"/>
                <w:sz w:val="17"/>
                <w:szCs w:val="17"/>
              </w:rPr>
              <w:t xml:space="preserve">IKS (K10, K1); CMS (A11)</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Sustainability</w:t>
            </w:r>
          </w:p>
        </w:tc>
        <w:tc>
          <w:tcPr>
            <w:tcW w:type="dxa" w:w="424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Daten­lieferant, fachliche Prüfung, Zukunftsziele</w:t>
            </w:r>
          </w:p>
        </w:tc>
        <w:tc>
          <w:tcPr>
            <w:tcW w:type="dxa" w:w="327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IKS (K3, K6, K11); RMS (Strategie)</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Legal</w:t>
            </w:r>
          </w:p>
        </w:tc>
        <w:tc>
          <w:tcPr>
            <w:tcW w:type="dxa" w:w="4240"/>
            <w:tcMar>
              <w:top w:type="dxa" w:w="50"/>
              <w:left w:type="dxa" w:w="90"/>
              <w:bottom w:type="dxa" w:w="50"/>
              <w:right w:type="dxa" w:w="90"/>
            </w:tcMar>
            <w:vAlign w:val="top"/>
          </w:tcPr>
          <w:p>
            <w:pPr>
              <w:spacing w:after="30" w:before="0" w:line="252"/>
            </w:pPr>
            <w:r>
              <w:rPr>
                <w:b w:val="false"/>
                <w:bCs w:val="false"/>
                <w:sz w:val="17"/>
                <w:szCs w:val="17"/>
              </w:rPr>
              <w:t xml:space="preserve">Auslegung, Grenzfälle, Abwehr</w:t>
            </w:r>
          </w:p>
        </w:tc>
        <w:tc>
          <w:tcPr>
            <w:tcW w:type="dxa" w:w="3278"/>
            <w:tcMar>
              <w:top w:type="dxa" w:w="50"/>
              <w:left w:type="dxa" w:w="90"/>
              <w:bottom w:type="dxa" w:w="50"/>
              <w:right w:type="dxa" w:w="90"/>
            </w:tcMar>
            <w:vAlign w:val="top"/>
          </w:tcPr>
          <w:p>
            <w:pPr>
              <w:spacing w:after="30" w:before="0" w:line="252"/>
            </w:pPr>
            <w:r>
              <w:rPr>
                <w:b w:val="false"/>
                <w:bCs w:val="false"/>
                <w:sz w:val="17"/>
                <w:szCs w:val="17"/>
              </w:rPr>
              <w:t xml:space="preserve">CMS (Richtlinie, Freigabe von Hochrisiko-Claims); IKS (K4, K12)</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Einkauf</w:t>
            </w:r>
          </w:p>
        </w:tc>
        <w:tc>
          <w:tcPr>
            <w:tcW w:type="dxa" w:w="424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Lieferanten­nachweise, Verträge</w:t>
            </w:r>
          </w:p>
        </w:tc>
        <w:tc>
          <w:tcPr>
            <w:tcW w:type="dxa" w:w="327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RMS (Treiber); CMS (Klauseln); IKS (K7)</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QM und Umwelt­management</w:t>
            </w:r>
          </w:p>
        </w:tc>
        <w:tc>
          <w:tcPr>
            <w:tcW w:type="dxa" w:w="4240"/>
            <w:tcMar>
              <w:top w:type="dxa" w:w="50"/>
              <w:left w:type="dxa" w:w="90"/>
              <w:bottom w:type="dxa" w:w="50"/>
              <w:right w:type="dxa" w:w="90"/>
            </w:tcMar>
            <w:vAlign w:val="top"/>
          </w:tcPr>
          <w:p>
            <w:pPr>
              <w:spacing w:after="30" w:before="0" w:line="252"/>
            </w:pPr>
            <w:r>
              <w:rPr>
                <w:b w:val="false"/>
                <w:bCs w:val="false"/>
                <w:sz w:val="17"/>
                <w:szCs w:val="17"/>
              </w:rPr>
              <w:t xml:space="preserve">Dokumenten­lenkung, Änderungs­lenkung, interne Audits, Umwelt­kommunikation (ISO 14001 Abschnitt 7.4) </w:t>
            </w:r>
            <w:r>
              <w:rPr>
                <w:b w:val="false"/>
                <w:bCs w:val="false"/>
                <w:color w:val="5E6B78"/>
                <w:sz w:val="14"/>
                <w:szCs w:val="14"/>
              </w:rPr>
              <w:t xml:space="preserve">[S10]</w:t>
            </w:r>
          </w:p>
        </w:tc>
        <w:tc>
          <w:tcPr>
            <w:tcW w:type="dxa" w:w="3278"/>
            <w:tcMar>
              <w:top w:type="dxa" w:w="50"/>
              <w:left w:type="dxa" w:w="90"/>
              <w:bottom w:type="dxa" w:w="50"/>
              <w:right w:type="dxa" w:w="90"/>
            </w:tcMar>
            <w:vAlign w:val="top"/>
          </w:tcPr>
          <w:p>
            <w:pPr>
              <w:spacing w:after="30" w:before="0" w:line="252"/>
            </w:pPr>
            <w:r>
              <w:rPr>
                <w:b w:val="false"/>
                <w:bCs w:val="false"/>
                <w:sz w:val="17"/>
                <w:szCs w:val="17"/>
              </w:rPr>
              <w:t xml:space="preserve">alle drei; im KMU der wichtigste Integrationsanker</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Vertrieb, Kundenservice</w:t>
            </w:r>
          </w:p>
        </w:tc>
        <w:tc>
          <w:tcPr>
            <w:tcW w:type="dxa" w:w="424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Mündliche Aussagen</w:t>
            </w:r>
          </w:p>
        </w:tc>
        <w:tc>
          <w:tcPr>
            <w:tcW w:type="dxa" w:w="327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 (Schulung, Kurzregel); IKS (Stichprobe)</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Geschäfts­leitung</w:t>
            </w:r>
          </w:p>
        </w:tc>
        <w:tc>
          <w:tcPr>
            <w:tcW w:type="dxa" w:w="4240"/>
            <w:tcMar>
              <w:top w:type="dxa" w:w="50"/>
              <w:left w:type="dxa" w:w="90"/>
              <w:bottom w:type="dxa" w:w="50"/>
              <w:right w:type="dxa" w:w="90"/>
            </w:tcMar>
            <w:vAlign w:val="top"/>
          </w:tcPr>
          <w:p>
            <w:pPr>
              <w:spacing w:after="30" w:before="0" w:line="252"/>
            </w:pPr>
            <w:r>
              <w:rPr>
                <w:b w:val="false"/>
                <w:bCs w:val="false"/>
                <w:sz w:val="17"/>
                <w:szCs w:val="17"/>
              </w:rPr>
              <w:t xml:space="preserve">Beschluss, Freigabe von Hochrisiko-Claims, Überwachung</w:t>
            </w:r>
          </w:p>
        </w:tc>
        <w:tc>
          <w:tcPr>
            <w:tcW w:type="dxa" w:w="3278"/>
            <w:tcMar>
              <w:top w:type="dxa" w:w="50"/>
              <w:left w:type="dxa" w:w="90"/>
              <w:bottom w:type="dxa" w:w="50"/>
              <w:right w:type="dxa" w:w="90"/>
            </w:tcMar>
            <w:vAlign w:val="top"/>
          </w:tcPr>
          <w:p>
            <w:pPr>
              <w:spacing w:after="30" w:before="0" w:line="252"/>
            </w:pPr>
            <w:r>
              <w:rPr>
                <w:b w:val="false"/>
                <w:bCs w:val="false"/>
                <w:sz w:val="17"/>
                <w:szCs w:val="17"/>
              </w:rPr>
              <w:t xml:space="preserve">alle drei</w:t>
            </w:r>
          </w:p>
        </w:tc>
      </w:tr>
    </w:tbl>
    <w:p>
      <w:pPr>
        <w:spacing w:after="120"/>
      </w:pPr>
    </w:p>
    <w:p>
      <w:pPr>
        <w:pStyle w:val="Heading1"/>
        <w:keepNext/>
        <w:pageBreakBefore/>
      </w:pPr>
      <w:r>
        <w:t xml:space="preserve">12 KMU-Perspektive</w:t>
      </w:r>
    </w:p>
    <w:p>
      <w:pPr>
        <w:spacing w:after="120" w:before="0" w:line="276"/>
      </w:pPr>
      <w:r>
        <w:t xml:space="preserve">EmpCo gilt ohne Größenschwelle. Die Größe wirkt sich nur mittelbar aus: bei der Frage, wie viel Organisation angemessen ist, bei den Ressourcen für Evidenz und bei der Sichtbarkeit gegenüber den Durchsetzern (RB Kap. 2.1) </w:t>
      </w:r>
      <w:r>
        <w:rPr>
          <w:color w:val="5E6B78"/>
          <w:sz w:val="18"/>
          <w:szCs w:val="18"/>
        </w:rPr>
        <w:t xml:space="preserve">[I1]</w:t>
      </w:r>
      <w:r>
        <w:t xml:space="preserve">. Die Rechtsprechung zur Organisationspflicht verlangt eine Organisation nach Art, Größe und Risikolage des Unternehmens, kein bestimmtes System </w:t>
      </w:r>
      <w:r>
        <w:rPr>
          <w:color w:val="5E6B78"/>
          <w:sz w:val="18"/>
          <w:szCs w:val="18"/>
        </w:rPr>
        <w:t xml:space="preserve">[R13]</w:t>
      </w:r>
      <w:r>
        <w:t xml:space="preserve">.</w:t>
      </w:r>
    </w:p>
    <w:p>
      <w:pPr>
        <w:pStyle w:val="Heading2"/>
        <w:keepNext/>
      </w:pPr>
      <w:r>
        <w:t xml:space="preserve">12.1 Was sich leicht integrieren lässt</w:t>
      </w:r>
    </w:p>
    <w:p>
      <w:pPr>
        <w:pStyle w:val="ListParagraph"/>
        <w:numPr>
          <w:ilvl w:val="0"/>
          <w:numId w:val="2"/>
        </w:numPr>
        <w:spacing w:after="60" w:before="0" w:line="276"/>
      </w:pPr>
      <w:r>
        <w:t xml:space="preserve">Risikofeld in eine vorhandene Risikoliste aufnehmen, auch in eine einfache Tabelle.</w:t>
      </w:r>
    </w:p>
    <w:p>
      <w:pPr>
        <w:pStyle w:val="ListParagraph"/>
        <w:numPr>
          <w:ilvl w:val="0"/>
          <w:numId w:val="2"/>
        </w:numPr>
        <w:spacing w:after="60" w:before="0" w:line="276"/>
      </w:pPr>
      <w:r>
        <w:t xml:space="preserve">Claims-Kapitel in bestehende Richtlinien oder das QM-Handbuch einfügen.</w:t>
      </w:r>
    </w:p>
    <w:p>
      <w:pPr>
        <w:pStyle w:val="ListParagraph"/>
        <w:numPr>
          <w:ilvl w:val="0"/>
          <w:numId w:val="2"/>
        </w:numPr>
        <w:spacing w:after="60" w:before="0" w:line="276"/>
      </w:pPr>
      <w:r>
        <w:t xml:space="preserve">Pflichtfelder in bestehende Werbe-, Druck- und Verpackungsfreigaben aufnehmen.</w:t>
      </w:r>
    </w:p>
    <w:p>
      <w:pPr>
        <w:pStyle w:val="ListParagraph"/>
        <w:numPr>
          <w:ilvl w:val="0"/>
          <w:numId w:val="2"/>
        </w:numPr>
        <w:spacing w:after="60" w:before="0" w:line="276"/>
      </w:pPr>
      <w:r>
        <w:t xml:space="preserve">Schulung in das Onboarding und die jährliche Unterweisung aufnehmen.</w:t>
      </w:r>
    </w:p>
    <w:p>
      <w:pPr>
        <w:pStyle w:val="ListParagraph"/>
        <w:numPr>
          <w:ilvl w:val="0"/>
          <w:numId w:val="2"/>
        </w:numPr>
        <w:spacing w:after="60" w:before="0" w:line="276"/>
      </w:pPr>
      <w:r>
        <w:t xml:space="preserve">Hinweisgeberkategorie ergänzen; eine Meldestelle besteht ab 50 Beschäftigten ohnehin </w:t>
      </w:r>
      <w:r>
        <w:rPr>
          <w:color w:val="5E6B78"/>
          <w:sz w:val="18"/>
          <w:szCs w:val="18"/>
        </w:rPr>
        <w:t xml:space="preserve">[R12]</w:t>
      </w:r>
      <w:r>
        <w:t xml:space="preserve">.</w:t>
      </w:r>
    </w:p>
    <w:p>
      <w:pPr>
        <w:pStyle w:val="ListParagraph"/>
        <w:numPr>
          <w:ilvl w:val="0"/>
          <w:numId w:val="2"/>
        </w:numPr>
        <w:spacing w:after="60" w:before="0" w:line="276"/>
      </w:pPr>
      <w:r>
        <w:t xml:space="preserve">Mit ISO 14001: bindende Verpflichtungen (Abschnitt 6.1.3) und Kommunikation (Abschnitt 7.4) erweitern; interne Audits um eine Claim-Stichprobe ergänzen </w:t>
      </w:r>
      <w:r>
        <w:rPr>
          <w:color w:val="5E6B78"/>
          <w:sz w:val="18"/>
          <w:szCs w:val="18"/>
        </w:rPr>
        <w:t xml:space="preserve">[S10]</w:t>
      </w:r>
      <w:r>
        <w:t xml:space="preserve">.</w:t>
      </w:r>
    </w:p>
    <w:p>
      <w:pPr>
        <w:pStyle w:val="ListParagraph"/>
        <w:numPr>
          <w:ilvl w:val="0"/>
          <w:numId w:val="2"/>
        </w:numPr>
        <w:spacing w:after="60" w:before="0" w:line="276"/>
      </w:pPr>
      <w:r>
        <w:t xml:space="preserve">Mit ISO 9001: Dokumentenlenkung für Dossiers nutzen, Änderungslenkung als Claim-Trigger, Lieferantenbewertung um Nachweise erweitern (RB Kap. 5.2) </w:t>
      </w:r>
      <w:r>
        <w:rPr>
          <w:color w:val="5E6B78"/>
          <w:sz w:val="18"/>
          <w:szCs w:val="18"/>
        </w:rPr>
        <w:t xml:space="preserve">[I1]</w:t>
      </w:r>
      <w:r>
        <w:t xml:space="preserve">.</w:t>
      </w:r>
    </w:p>
    <w:p>
      <w:pPr>
        <w:spacing w:after="40"/>
      </w:pPr>
    </w:p>
    <w:p>
      <w:pPr>
        <w:pStyle w:val="Heading2"/>
        <w:keepNext/>
      </w:pPr>
      <w:r>
        <w:t xml:space="preserve">12.2 Was ressourcenintensiv ist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023"/>
        <w:gridCol w:w="3276"/>
        <w:gridCol w:w="4339"/>
      </w:tblGrid>
      <w:tr>
        <w:trPr>
          <w:cantSplit/>
          <w:tblHeader/>
        </w:trPr>
        <w:tc>
          <w:tcPr>
            <w:tcW w:type="dxa" w:w="2023"/>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Aufgabe</w:t>
            </w:r>
          </w:p>
        </w:tc>
        <w:tc>
          <w:tcPr>
            <w:tcW w:type="dxa" w:w="3276"/>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Warum aufwendig</w:t>
            </w:r>
          </w:p>
        </w:tc>
        <w:tc>
          <w:tcPr>
            <w:tcW w:type="dxa" w:w="4339"/>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Proportionaler Umgang</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Einmalige Claim-Inventur</w:t>
            </w:r>
          </w:p>
        </w:tc>
        <w:tc>
          <w:tcPr>
            <w:tcW w:type="dxa" w:w="3276"/>
            <w:tcMar>
              <w:top w:type="dxa" w:w="50"/>
              <w:left w:type="dxa" w:w="90"/>
              <w:bottom w:type="dxa" w:w="50"/>
              <w:right w:type="dxa" w:w="90"/>
            </w:tcMar>
            <w:vAlign w:val="top"/>
          </w:tcPr>
          <w:p>
            <w:pPr>
              <w:spacing w:after="30" w:before="0" w:line="252"/>
            </w:pPr>
            <w:r>
              <w:rPr>
                <w:b w:val="false"/>
                <w:bCs w:val="false"/>
                <w:sz w:val="17"/>
                <w:szCs w:val="17"/>
              </w:rPr>
              <w:t xml:space="preserve">Alle Kanäle einschließlich Verpackungen, Marktplätze, alter Broschüren und Social-Media-Beiträge.</w:t>
            </w:r>
          </w:p>
        </w:tc>
        <w:tc>
          <w:tcPr>
            <w:tcW w:type="dxa" w:w="4339"/>
            <w:tcMar>
              <w:top w:type="dxa" w:w="50"/>
              <w:left w:type="dxa" w:w="90"/>
              <w:bottom w:type="dxa" w:w="50"/>
              <w:right w:type="dxa" w:w="90"/>
            </w:tcMar>
            <w:vAlign w:val="top"/>
          </w:tcPr>
          <w:p>
            <w:pPr>
              <w:spacing w:after="30" w:before="0" w:line="252"/>
            </w:pPr>
            <w:r>
              <w:rPr>
                <w:b w:val="false"/>
                <w:bCs w:val="false"/>
                <w:sz w:val="17"/>
                <w:szCs w:val="17"/>
              </w:rPr>
              <w:t xml:space="preserve">Nach Risiko priorisieren: zuerst digitale Kanäle mit Per-se-Risiko, dann Verpackung, dann der Rest (RB Kap. 9.3) </w:t>
            </w:r>
            <w:r>
              <w:rPr>
                <w:b w:val="false"/>
                <w:bCs w:val="false"/>
                <w:color w:val="5E6B78"/>
                <w:sz w:val="14"/>
                <w:szCs w:val="14"/>
              </w:rPr>
              <w:t xml:space="preserve">[I1]</w:t>
            </w:r>
            <w:r>
              <w:rPr>
                <w:b w:val="false"/>
                <w:bCs w:val="false"/>
                <w:sz w:val="17"/>
                <w:szCs w:val="17"/>
              </w:rPr>
              <w:t xml:space="preserve">.</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Evidenz für bestehende Claims</w:t>
            </w:r>
          </w:p>
        </w:tc>
        <w:tc>
          <w:tcPr>
            <w:tcW w:type="dxa" w:w="3276"/>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Belege fehlen oft oder sind veraltet.</w:t>
            </w:r>
          </w:p>
        </w:tc>
        <w:tc>
          <w:tcPr>
            <w:tcW w:type="dxa" w:w="433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Claims ohne Beleg streichen, statt sie nachträglich aufwendig zu belegen; Aufwand auf Kernaussagen konzentrieren.</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Lieferanten­nachweise</w:t>
            </w:r>
          </w:p>
        </w:tc>
        <w:tc>
          <w:tcPr>
            <w:tcW w:type="dxa" w:w="3276"/>
            <w:tcMar>
              <w:top w:type="dxa" w:w="50"/>
              <w:left w:type="dxa" w:w="90"/>
              <w:bottom w:type="dxa" w:w="50"/>
              <w:right w:type="dxa" w:w="90"/>
            </w:tcMar>
            <w:vAlign w:val="top"/>
          </w:tcPr>
          <w:p>
            <w:pPr>
              <w:spacing w:after="30" w:before="0" w:line="252"/>
            </w:pPr>
            <w:r>
              <w:rPr>
                <w:b w:val="false"/>
                <w:bCs w:val="false"/>
                <w:sz w:val="17"/>
                <w:szCs w:val="17"/>
              </w:rPr>
              <w:t xml:space="preserve">Abhängigkeit von Dritten; schwankende Datenqualität.</w:t>
            </w:r>
          </w:p>
        </w:tc>
        <w:tc>
          <w:tcPr>
            <w:tcW w:type="dxa" w:w="4339"/>
            <w:tcMar>
              <w:top w:type="dxa" w:w="50"/>
              <w:left w:type="dxa" w:w="90"/>
              <w:bottom w:type="dxa" w:w="50"/>
              <w:right w:type="dxa" w:w="90"/>
            </w:tcMar>
            <w:vAlign w:val="top"/>
          </w:tcPr>
          <w:p>
            <w:pPr>
              <w:spacing w:after="30" w:before="0" w:line="252"/>
            </w:pPr>
            <w:r>
              <w:rPr>
                <w:b w:val="false"/>
                <w:bCs w:val="false"/>
                <w:sz w:val="17"/>
                <w:szCs w:val="17"/>
              </w:rPr>
              <w:t xml:space="preserve">Klauseln bei Neuabschluss und Verlängerung; Zertifikatsvorlage als Standard </w:t>
            </w:r>
            <w:r>
              <w:rPr>
                <w:b w:val="false"/>
                <w:bCs w:val="false"/>
                <w:color w:val="5E6B78"/>
                <w:sz w:val="14"/>
                <w:szCs w:val="14"/>
              </w:rPr>
              <w:t xml:space="preserve">[L6]</w:t>
            </w:r>
            <w:r>
              <w:rPr>
                <w:b w:val="false"/>
                <w:bCs w:val="false"/>
                <w:sz w:val="17"/>
                <w:szCs w:val="17"/>
              </w:rPr>
              <w:t xml:space="preserve">.</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Zukunfts­aussagen</w:t>
            </w:r>
          </w:p>
        </w:tc>
        <w:tc>
          <w:tcPr>
            <w:tcW w:type="dxa" w:w="3276"/>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Plan, Ressourcenzuweisung und wiederkehrende externe Prüfung.</w:t>
            </w:r>
          </w:p>
        </w:tc>
        <w:tc>
          <w:tcPr>
            <w:tcW w:type="dxa" w:w="433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Nur wenn strategisch gewollt; sonst Ist-Aussagen.</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Eigene Siegel</w:t>
            </w:r>
          </w:p>
        </w:tc>
        <w:tc>
          <w:tcPr>
            <w:tcW w:type="dxa" w:w="3276"/>
            <w:tcMar>
              <w:top w:type="dxa" w:w="50"/>
              <w:left w:type="dxa" w:w="90"/>
              <w:bottom w:type="dxa" w:w="50"/>
              <w:right w:type="dxa" w:w="90"/>
            </w:tcMar>
            <w:vAlign w:val="top"/>
          </w:tcPr>
          <w:p>
            <w:pPr>
              <w:spacing w:after="30" w:before="0" w:line="252"/>
            </w:pPr>
            <w:r>
              <w:rPr>
                <w:b w:val="false"/>
                <w:bCs w:val="false"/>
                <w:sz w:val="17"/>
                <w:szCs w:val="17"/>
              </w:rPr>
              <w:t xml:space="preserve">Aufbau eines Zertifizierungs­systems mit Drittüberwachung.</w:t>
            </w:r>
          </w:p>
        </w:tc>
        <w:tc>
          <w:tcPr>
            <w:tcW w:type="dxa" w:w="4339"/>
            <w:tcMar>
              <w:top w:type="dxa" w:w="50"/>
              <w:left w:type="dxa" w:w="90"/>
              <w:bottom w:type="dxa" w:w="50"/>
              <w:right w:type="dxa" w:w="90"/>
            </w:tcMar>
            <w:vAlign w:val="top"/>
          </w:tcPr>
          <w:p>
            <w:pPr>
              <w:spacing w:after="30" w:before="0" w:line="252"/>
            </w:pPr>
            <w:r>
              <w:rPr>
                <w:b w:val="false"/>
                <w:bCs w:val="false"/>
                <w:sz w:val="17"/>
                <w:szCs w:val="17"/>
              </w:rPr>
              <w:t xml:space="preserve">Meist unverhältnismäßig; Wechsel auf anerkannte Zeichen oder Verzicht.</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Pflicht­informationen im Onlinehandel</w:t>
            </w:r>
          </w:p>
        </w:tc>
        <w:tc>
          <w:tcPr>
            <w:tcW w:type="dxa" w:w="3276"/>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Viele Artikel; Daten kommen von den Herstellern.</w:t>
            </w:r>
          </w:p>
        </w:tc>
        <w:tc>
          <w:tcPr>
            <w:tcW w:type="dxa" w:w="433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Pflicht­felder im Shop-System; Daten­anforderung an Lieferanten standardisieren.</w:t>
            </w:r>
          </w:p>
        </w:tc>
      </w:tr>
      <w:tr>
        <w:trPr>
          <w:cantSplit/>
        </w:trPr>
        <w:tc>
          <w:tcPr>
            <w:tcW w:type="dxa" w:w="2023"/>
            <w:tcMar>
              <w:top w:type="dxa" w:w="50"/>
              <w:left w:type="dxa" w:w="90"/>
              <w:bottom w:type="dxa" w:w="50"/>
              <w:right w:type="dxa" w:w="90"/>
            </w:tcMar>
            <w:vAlign w:val="top"/>
          </w:tcPr>
          <w:p>
            <w:pPr>
              <w:spacing w:after="30" w:before="0" w:line="252"/>
            </w:pPr>
            <w:r>
              <w:rPr>
                <w:b/>
                <w:bCs/>
                <w:sz w:val="17"/>
                <w:szCs w:val="17"/>
              </w:rPr>
              <w:t xml:space="preserve">Altbestände</w:t>
            </w:r>
          </w:p>
        </w:tc>
        <w:tc>
          <w:tcPr>
            <w:tcW w:type="dxa" w:w="3276"/>
            <w:tcMar>
              <w:top w:type="dxa" w:w="50"/>
              <w:left w:type="dxa" w:w="90"/>
              <w:bottom w:type="dxa" w:w="50"/>
              <w:right w:type="dxa" w:w="90"/>
            </w:tcMar>
            <w:vAlign w:val="top"/>
          </w:tcPr>
          <w:p>
            <w:pPr>
              <w:spacing w:after="30" w:before="0" w:line="252"/>
            </w:pPr>
            <w:r>
              <w:rPr>
                <w:b w:val="false"/>
                <w:bCs w:val="false"/>
                <w:sz w:val="17"/>
                <w:szCs w:val="17"/>
              </w:rPr>
              <w:t xml:space="preserve">Verpackungen mit langer Vorlaufzeit.</w:t>
            </w:r>
          </w:p>
        </w:tc>
        <w:tc>
          <w:tcPr>
            <w:tcW w:type="dxa" w:w="4339"/>
            <w:tcMar>
              <w:top w:type="dxa" w:w="50"/>
              <w:left w:type="dxa" w:w="90"/>
              <w:bottom w:type="dxa" w:w="50"/>
              <w:right w:type="dxa" w:w="90"/>
            </w:tcMar>
            <w:vAlign w:val="top"/>
          </w:tcPr>
          <w:p>
            <w:pPr>
              <w:spacing w:after="30" w:before="0" w:line="252"/>
            </w:pPr>
            <w:r>
              <w:rPr>
                <w:b w:val="false"/>
                <w:bCs w:val="false"/>
                <w:sz w:val="17"/>
                <w:szCs w:val="17"/>
              </w:rPr>
              <w:t xml:space="preserve">Inventur und dokumentierter Beseitigungs­plan; § 15b UWG und CPC-Leitlinie berücksichtigen </w:t>
            </w:r>
            <w:r>
              <w:rPr>
                <w:b w:val="false"/>
                <w:bCs w:val="false"/>
                <w:color w:val="5E6B78"/>
                <w:sz w:val="14"/>
                <w:szCs w:val="14"/>
              </w:rPr>
              <w:t xml:space="preserve">[R8][B3]</w:t>
            </w:r>
            <w:r>
              <w:rPr>
                <w:b w:val="false"/>
                <w:bCs w:val="false"/>
                <w:sz w:val="17"/>
                <w:szCs w:val="17"/>
              </w:rPr>
              <w:t xml:space="preserve">.</w:t>
            </w:r>
          </w:p>
        </w:tc>
      </w:tr>
      <w:tr>
        <w:trPr>
          <w:cantSplit/>
        </w:trPr>
        <w:tc>
          <w:tcPr>
            <w:tcW w:type="dxa" w:w="2023"/>
            <w:shd w:fill="F3F5F7" w:color="auto" w:val="clear"/>
            <w:tcMar>
              <w:top w:type="dxa" w:w="50"/>
              <w:left w:type="dxa" w:w="90"/>
              <w:bottom w:type="dxa" w:w="50"/>
              <w:right w:type="dxa" w:w="90"/>
            </w:tcMar>
            <w:vAlign w:val="top"/>
          </w:tcPr>
          <w:p>
            <w:pPr>
              <w:spacing w:after="30" w:before="0" w:line="252"/>
            </w:pPr>
            <w:r>
              <w:rPr>
                <w:b/>
                <w:bCs/>
                <w:sz w:val="17"/>
                <w:szCs w:val="17"/>
              </w:rPr>
              <w:t xml:space="preserve">Monitoring aller Kanäle</w:t>
            </w:r>
          </w:p>
        </w:tc>
        <w:tc>
          <w:tcPr>
            <w:tcW w:type="dxa" w:w="3276"/>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Laufender Aufwand.</w:t>
            </w:r>
          </w:p>
        </w:tc>
        <w:tc>
          <w:tcPr>
            <w:tcW w:type="dxa" w:w="4339"/>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Halbjährlicher manueller Scan statt Werkzeug; Automatisierung erst bei vielen Claims </w:t>
            </w:r>
            <w:r>
              <w:rPr>
                <w:b/>
                <w:bCs/>
                <w:color w:val="5B4B8A"/>
                <w:sz w:val="15"/>
                <w:szCs w:val="15"/>
              </w:rPr>
              <w:t xml:space="preserve">[Best Practice]</w:t>
            </w:r>
            <w:r>
              <w:rPr>
                <w:b w:val="false"/>
                <w:bCs w:val="false"/>
                <w:sz w:val="17"/>
                <w:szCs w:val="17"/>
              </w:rPr>
              <w:t xml:space="preserve">.</w:t>
            </w:r>
          </w:p>
        </w:tc>
      </w:tr>
    </w:tbl>
    <w:p>
      <w:pPr>
        <w:spacing w:after="120"/>
      </w:pPr>
    </w:p>
    <w:p>
      <w:pPr>
        <w:pStyle w:val="Heading2"/>
        <w:keepNext/>
      </w:pPr>
      <w:r>
        <w:t xml:space="preserve">12.3 Was sich wiederverwenden lässt</w:t>
      </w:r>
    </w:p>
    <w:p>
      <w:pPr>
        <w:pStyle w:val="ListParagraph"/>
        <w:numPr>
          <w:ilvl w:val="0"/>
          <w:numId w:val="2"/>
        </w:numPr>
        <w:spacing w:after="60" w:before="0" w:line="276"/>
      </w:pPr>
      <w:r>
        <w:t xml:space="preserve">Das Vier-Augen-Prinzip aus dem Finanzbereich als Muster für die Claim-Freigabe.</w:t>
      </w:r>
    </w:p>
    <w:p>
      <w:pPr>
        <w:pStyle w:val="ListParagraph"/>
        <w:numPr>
          <w:ilvl w:val="0"/>
          <w:numId w:val="2"/>
        </w:numPr>
        <w:spacing w:after="60" w:before="0" w:line="276"/>
      </w:pPr>
      <w:r>
        <w:t xml:space="preserve">QM-Dokumentenlenkung und Ablagestruktur für die Dossiers.</w:t>
      </w:r>
    </w:p>
    <w:p>
      <w:pPr>
        <w:pStyle w:val="ListParagraph"/>
        <w:numPr>
          <w:ilvl w:val="0"/>
          <w:numId w:val="2"/>
        </w:numPr>
        <w:spacing w:after="60" w:before="0" w:line="276"/>
      </w:pPr>
      <w:r>
        <w:t xml:space="preserve">Lieferantenbewertung und Wareneingangsprüfung für Zertifikate.</w:t>
      </w:r>
    </w:p>
    <w:p>
      <w:pPr>
        <w:pStyle w:val="ListParagraph"/>
        <w:numPr>
          <w:ilvl w:val="0"/>
          <w:numId w:val="2"/>
        </w:numPr>
        <w:spacing w:after="60" w:before="0" w:line="276"/>
      </w:pPr>
      <w:r>
        <w:t xml:space="preserve">Vorhandene Daten als Evidenzquelle, etwa Energie- und Emissionsdaten aus ISO 50001, einer EMAS-Umwelterklärung oder einem freiwilligen Nachhaltigkeitsbericht nach VSME, sofern Methode und Bezugsgröße zum Claim passen.</w:t>
      </w:r>
    </w:p>
    <w:p>
      <w:pPr>
        <w:pStyle w:val="ListParagraph"/>
        <w:numPr>
          <w:ilvl w:val="0"/>
          <w:numId w:val="2"/>
        </w:numPr>
        <w:spacing w:after="60" w:before="0" w:line="276"/>
      </w:pPr>
      <w:r>
        <w:t xml:space="preserve">Bestehende Vertragsmuster (Agenturen, Lieferanten) als Träger neuer Klauseln.</w:t>
      </w:r>
    </w:p>
    <w:p>
      <w:pPr>
        <w:pStyle w:val="ListParagraph"/>
        <w:numPr>
          <w:ilvl w:val="0"/>
          <w:numId w:val="2"/>
        </w:numPr>
        <w:spacing w:after="60" w:before="0" w:line="276"/>
      </w:pPr>
      <w:r>
        <w:t xml:space="preserve">Hinweisgebersystem und Beschwerdemanagement als Frühwarnkanal.</w:t>
      </w:r>
    </w:p>
    <w:p>
      <w:pPr>
        <w:spacing w:after="40"/>
      </w:pPr>
    </w:p>
    <w:p>
      <w:pPr>
        <w:pStyle w:val="Heading2"/>
        <w:keepNext/>
      </w:pPr>
      <w:r>
        <w:t xml:space="preserve">12.4 Proportionale Lösung: Mindest-Governance in zehn Bausteinen</w:t>
      </w:r>
    </w:p>
    <w:p>
      <w:pPr>
        <w:spacing w:after="120" w:before="0" w:line="276"/>
      </w:pPr>
      <w:r>
        <w:t xml:space="preserve">Die folgende Mindest-Governance stammt aus RB Kap. 6.10 </w:t>
      </w:r>
      <w:r>
        <w:rPr>
          <w:color w:val="5E6B78"/>
          <w:sz w:val="18"/>
          <w:szCs w:val="18"/>
        </w:rPr>
        <w:t xml:space="preserve">[I1]</w:t>
      </w:r>
      <w:r>
        <w:t xml:space="preserve">. Alle Bausteine sind </w:t>
      </w:r>
      <w:r>
        <w:rPr>
          <w:b/>
          <w:bCs/>
          <w:color w:val="1F6F63"/>
          <w:sz w:val="19"/>
          <w:szCs w:val="19"/>
        </w:rPr>
        <w:t xml:space="preserve">[Organisation]</w:t>
      </w:r>
      <w:r>
        <w:t xml:space="preserve">; keiner ist gesetzlich vorgeschrieben. Zusammen erfüllen sie aber die Funktion eines CMS-Teilbereichs, eines RMS-Eintrags und eines IKS-Prozesses.</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578"/>
        <w:gridCol w:w="5975"/>
        <w:gridCol w:w="3085"/>
      </w:tblGrid>
      <w:tr>
        <w:trPr>
          <w:cantSplit/>
          <w:tblHeader/>
        </w:trPr>
        <w:tc>
          <w:tcPr>
            <w:tcW w:type="dxa" w:w="57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Nr.</w:t>
            </w:r>
          </w:p>
        </w:tc>
        <w:tc>
          <w:tcPr>
            <w:tcW w:type="dxa" w:w="5975"/>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Baustein</w:t>
            </w:r>
          </w:p>
        </w:tc>
        <w:tc>
          <w:tcPr>
            <w:tcW w:type="dxa" w:w="3085"/>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Funktion im System</w:t>
            </w:r>
          </w:p>
        </w:tc>
      </w:tr>
      <w:tr>
        <w:trPr>
          <w:cantSplit/>
        </w:trPr>
        <w:tc>
          <w:tcPr>
            <w:tcW w:type="dxa" w:w="578"/>
            <w:tcMar>
              <w:top w:type="dxa" w:w="50"/>
              <w:left w:type="dxa" w:w="90"/>
              <w:bottom w:type="dxa" w:w="50"/>
              <w:right w:type="dxa" w:w="90"/>
            </w:tcMar>
            <w:vAlign w:val="top"/>
          </w:tcPr>
          <w:p>
            <w:pPr>
              <w:spacing w:after="30" w:before="0" w:line="252"/>
            </w:pPr>
            <w:r>
              <w:rPr>
                <w:b/>
                <w:bCs/>
                <w:sz w:val="17"/>
                <w:szCs w:val="17"/>
              </w:rPr>
              <w:t xml:space="preserve">1</w:t>
            </w:r>
          </w:p>
        </w:tc>
        <w:tc>
          <w:tcPr>
            <w:tcW w:type="dxa" w:w="5975"/>
            <w:tcMar>
              <w:top w:type="dxa" w:w="50"/>
              <w:left w:type="dxa" w:w="90"/>
              <w:bottom w:type="dxa" w:w="50"/>
              <w:right w:type="dxa" w:w="90"/>
            </w:tcMar>
            <w:vAlign w:val="top"/>
          </w:tcPr>
          <w:p>
            <w:pPr>
              <w:spacing w:after="30" w:before="0" w:line="252"/>
            </w:pPr>
            <w:r>
              <w:rPr>
                <w:b w:val="false"/>
                <w:bCs w:val="false"/>
                <w:sz w:val="17"/>
                <w:szCs w:val="17"/>
              </w:rPr>
              <w:t xml:space="preserve">Beschluss der Geschäfts­leitung zur Claims-Richtlinie mit benanntem Claim-Governance-Owner</w:t>
            </w:r>
          </w:p>
        </w:tc>
        <w:tc>
          <w:tcPr>
            <w:tcW w:type="dxa" w:w="3085"/>
            <w:tcMar>
              <w:top w:type="dxa" w:w="50"/>
              <w:left w:type="dxa" w:w="90"/>
              <w:bottom w:type="dxa" w:w="50"/>
              <w:right w:type="dxa" w:w="90"/>
            </w:tcMar>
            <w:vAlign w:val="top"/>
          </w:tcPr>
          <w:p>
            <w:pPr>
              <w:spacing w:after="30" w:before="0" w:line="252"/>
            </w:pPr>
            <w:r>
              <w:rPr>
                <w:b w:val="false"/>
                <w:bCs w:val="false"/>
                <w:sz w:val="17"/>
                <w:szCs w:val="17"/>
              </w:rPr>
              <w:t xml:space="preserve">CMS: Kultur, Organisation</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7"/>
                <w:szCs w:val="17"/>
              </w:rPr>
              <w:t xml:space="preserve">2</w:t>
            </w:r>
          </w:p>
        </w:tc>
        <w:tc>
          <w:tcPr>
            <w:tcW w:type="dxa" w:w="597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Einmalige Vollinventur aller Claims mit Entscheidung „behalten, ändern, streichen“</w:t>
            </w:r>
          </w:p>
        </w:tc>
        <w:tc>
          <w:tcPr>
            <w:tcW w:type="dxa" w:w="308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 IKS: Vollständigkeit</w:t>
            </w:r>
          </w:p>
        </w:tc>
      </w:tr>
      <w:tr>
        <w:trPr>
          <w:cantSplit/>
        </w:trPr>
        <w:tc>
          <w:tcPr>
            <w:tcW w:type="dxa" w:w="578"/>
            <w:tcMar>
              <w:top w:type="dxa" w:w="50"/>
              <w:left w:type="dxa" w:w="90"/>
              <w:bottom w:type="dxa" w:w="50"/>
              <w:right w:type="dxa" w:w="90"/>
            </w:tcMar>
            <w:vAlign w:val="top"/>
          </w:tcPr>
          <w:p>
            <w:pPr>
              <w:spacing w:after="30" w:before="0" w:line="252"/>
            </w:pPr>
            <w:r>
              <w:rPr>
                <w:b/>
                <w:bCs/>
                <w:sz w:val="17"/>
                <w:szCs w:val="17"/>
              </w:rPr>
              <w:t xml:space="preserve">3</w:t>
            </w:r>
          </w:p>
        </w:tc>
        <w:tc>
          <w:tcPr>
            <w:tcW w:type="dxa" w:w="5975"/>
            <w:tcMar>
              <w:top w:type="dxa" w:w="50"/>
              <w:left w:type="dxa" w:w="90"/>
              <w:bottom w:type="dxa" w:w="50"/>
              <w:right w:type="dxa" w:w="90"/>
            </w:tcMar>
            <w:vAlign w:val="top"/>
          </w:tcPr>
          <w:p>
            <w:pPr>
              <w:spacing w:after="30" w:before="0" w:line="252"/>
            </w:pPr>
            <w:r>
              <w:rPr>
                <w:b w:val="false"/>
                <w:bCs w:val="false"/>
                <w:sz w:val="17"/>
                <w:szCs w:val="17"/>
              </w:rPr>
              <w:t xml:space="preserve">Claim-Register (Tabelle genügt) mit ID, Klasse, Evidenzverweis, Freigabe, Ablaufdatum, Kanälen</w:t>
            </w:r>
          </w:p>
        </w:tc>
        <w:tc>
          <w:tcPr>
            <w:tcW w:type="dxa" w:w="3085"/>
            <w:tcMar>
              <w:top w:type="dxa" w:w="50"/>
              <w:left w:type="dxa" w:w="90"/>
              <w:bottom w:type="dxa" w:w="50"/>
              <w:right w:type="dxa" w:w="90"/>
            </w:tcMar>
            <w:vAlign w:val="top"/>
          </w:tcPr>
          <w:p>
            <w:pPr>
              <w:spacing w:after="30" w:before="0" w:line="252"/>
            </w:pPr>
            <w:r>
              <w:rPr>
                <w:b w:val="false"/>
                <w:bCs w:val="false"/>
                <w:sz w:val="17"/>
                <w:szCs w:val="17"/>
              </w:rPr>
              <w:t xml:space="preserve">CMS, IKS; RMS: Exposition</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7"/>
                <w:szCs w:val="17"/>
              </w:rPr>
              <w:t xml:space="preserve">4</w:t>
            </w:r>
          </w:p>
        </w:tc>
        <w:tc>
          <w:tcPr>
            <w:tcW w:type="dxa" w:w="597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Negativliste und Claim-Bibliothek</w:t>
            </w:r>
          </w:p>
        </w:tc>
        <w:tc>
          <w:tcPr>
            <w:tcW w:type="dxa" w:w="308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 Programm; IKS: K2</w:t>
            </w:r>
          </w:p>
        </w:tc>
      </w:tr>
      <w:tr>
        <w:trPr>
          <w:cantSplit/>
        </w:trPr>
        <w:tc>
          <w:tcPr>
            <w:tcW w:type="dxa" w:w="578"/>
            <w:tcMar>
              <w:top w:type="dxa" w:w="50"/>
              <w:left w:type="dxa" w:w="90"/>
              <w:bottom w:type="dxa" w:w="50"/>
              <w:right w:type="dxa" w:w="90"/>
            </w:tcMar>
            <w:vAlign w:val="top"/>
          </w:tcPr>
          <w:p>
            <w:pPr>
              <w:spacing w:after="30" w:before="0" w:line="252"/>
            </w:pPr>
            <w:r>
              <w:rPr>
                <w:b/>
                <w:bCs/>
                <w:sz w:val="17"/>
                <w:szCs w:val="17"/>
              </w:rPr>
              <w:t xml:space="preserve">5</w:t>
            </w:r>
          </w:p>
        </w:tc>
        <w:tc>
          <w:tcPr>
            <w:tcW w:type="dxa" w:w="5975"/>
            <w:tcMar>
              <w:top w:type="dxa" w:w="50"/>
              <w:left w:type="dxa" w:w="90"/>
              <w:bottom w:type="dxa" w:w="50"/>
              <w:right w:type="dxa" w:w="90"/>
            </w:tcMar>
            <w:vAlign w:val="top"/>
          </w:tcPr>
          <w:p>
            <w:pPr>
              <w:spacing w:after="30" w:before="0" w:line="252"/>
            </w:pPr>
            <w:r>
              <w:rPr>
                <w:b w:val="false"/>
                <w:bCs w:val="false"/>
                <w:sz w:val="17"/>
                <w:szCs w:val="17"/>
              </w:rPr>
              <w:t xml:space="preserve">Entscheidungsbaum zur Klassifizierung und Freigabe­matrix</w:t>
            </w:r>
          </w:p>
        </w:tc>
        <w:tc>
          <w:tcPr>
            <w:tcW w:type="dxa" w:w="3085"/>
            <w:tcMar>
              <w:top w:type="dxa" w:w="50"/>
              <w:left w:type="dxa" w:w="90"/>
              <w:bottom w:type="dxa" w:w="50"/>
              <w:right w:type="dxa" w:w="90"/>
            </w:tcMar>
            <w:vAlign w:val="top"/>
          </w:tcPr>
          <w:p>
            <w:pPr>
              <w:spacing w:after="30" w:before="0" w:line="252"/>
            </w:pPr>
            <w:r>
              <w:rPr>
                <w:b w:val="false"/>
                <w:bCs w:val="false"/>
                <w:sz w:val="17"/>
                <w:szCs w:val="17"/>
              </w:rPr>
              <w:t xml:space="preserve">IKS: K4</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7"/>
                <w:szCs w:val="17"/>
              </w:rPr>
              <w:t xml:space="preserve">6</w:t>
            </w:r>
          </w:p>
        </w:tc>
        <w:tc>
          <w:tcPr>
            <w:tcW w:type="dxa" w:w="597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Evidenzordner je Claim mit Pflichtinhalten</w:t>
            </w:r>
          </w:p>
        </w:tc>
        <w:tc>
          <w:tcPr>
            <w:tcW w:type="dxa" w:w="308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IKS: K3; Nachweis</w:t>
            </w:r>
          </w:p>
        </w:tc>
      </w:tr>
      <w:tr>
        <w:trPr>
          <w:cantSplit/>
        </w:trPr>
        <w:tc>
          <w:tcPr>
            <w:tcW w:type="dxa" w:w="578"/>
            <w:tcMar>
              <w:top w:type="dxa" w:w="50"/>
              <w:left w:type="dxa" w:w="90"/>
              <w:bottom w:type="dxa" w:w="50"/>
              <w:right w:type="dxa" w:w="90"/>
            </w:tcMar>
            <w:vAlign w:val="top"/>
          </w:tcPr>
          <w:p>
            <w:pPr>
              <w:spacing w:after="30" w:before="0" w:line="252"/>
            </w:pPr>
            <w:r>
              <w:rPr>
                <w:b/>
                <w:bCs/>
                <w:sz w:val="17"/>
                <w:szCs w:val="17"/>
              </w:rPr>
              <w:t xml:space="preserve">7</w:t>
            </w:r>
          </w:p>
        </w:tc>
        <w:tc>
          <w:tcPr>
            <w:tcW w:type="dxa" w:w="5975"/>
            <w:tcMar>
              <w:top w:type="dxa" w:w="50"/>
              <w:left w:type="dxa" w:w="90"/>
              <w:bottom w:type="dxa" w:w="50"/>
              <w:right w:type="dxa" w:w="90"/>
            </w:tcMar>
            <w:vAlign w:val="top"/>
          </w:tcPr>
          <w:p>
            <w:pPr>
              <w:spacing w:after="30" w:before="0" w:line="252"/>
            </w:pPr>
            <w:r>
              <w:rPr>
                <w:b w:val="false"/>
                <w:bCs w:val="false"/>
                <w:sz w:val="17"/>
                <w:szCs w:val="17"/>
              </w:rPr>
              <w:t xml:space="preserve">Vertragsklauseln für Agenturen, Influencer und Händler</w:t>
            </w:r>
          </w:p>
        </w:tc>
        <w:tc>
          <w:tcPr>
            <w:tcW w:type="dxa" w:w="3085"/>
            <w:tcMar>
              <w:top w:type="dxa" w:w="50"/>
              <w:left w:type="dxa" w:w="90"/>
              <w:bottom w:type="dxa" w:w="50"/>
              <w:right w:type="dxa" w:w="90"/>
            </w:tcMar>
            <w:vAlign w:val="top"/>
          </w:tcPr>
          <w:p>
            <w:pPr>
              <w:spacing w:after="30" w:before="0" w:line="252"/>
            </w:pPr>
            <w:r>
              <w:rPr>
                <w:b w:val="false"/>
                <w:bCs w:val="false"/>
                <w:sz w:val="17"/>
                <w:szCs w:val="17"/>
              </w:rPr>
              <w:t xml:space="preserve">CMS: Dritte; IKS: K9</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7"/>
                <w:szCs w:val="17"/>
              </w:rPr>
              <w:t xml:space="preserve">8</w:t>
            </w:r>
          </w:p>
        </w:tc>
        <w:tc>
          <w:tcPr>
            <w:tcW w:type="dxa" w:w="597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Schulung (ca. zwei Stunden) und einseitige Kurzregel für den Vertrieb</w:t>
            </w:r>
          </w:p>
        </w:tc>
        <w:tc>
          <w:tcPr>
            <w:tcW w:type="dxa" w:w="308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 Kommunikation</w:t>
            </w:r>
          </w:p>
        </w:tc>
      </w:tr>
      <w:tr>
        <w:trPr>
          <w:cantSplit/>
        </w:trPr>
        <w:tc>
          <w:tcPr>
            <w:tcW w:type="dxa" w:w="578"/>
            <w:tcMar>
              <w:top w:type="dxa" w:w="50"/>
              <w:left w:type="dxa" w:w="90"/>
              <w:bottom w:type="dxa" w:w="50"/>
              <w:right w:type="dxa" w:w="90"/>
            </w:tcMar>
            <w:vAlign w:val="top"/>
          </w:tcPr>
          <w:p>
            <w:pPr>
              <w:spacing w:after="30" w:before="0" w:line="252"/>
            </w:pPr>
            <w:r>
              <w:rPr>
                <w:b/>
                <w:bCs/>
                <w:sz w:val="17"/>
                <w:szCs w:val="17"/>
              </w:rPr>
              <w:t xml:space="preserve">9</w:t>
            </w:r>
          </w:p>
        </w:tc>
        <w:tc>
          <w:tcPr>
            <w:tcW w:type="dxa" w:w="5975"/>
            <w:tcMar>
              <w:top w:type="dxa" w:w="50"/>
              <w:left w:type="dxa" w:w="90"/>
              <w:bottom w:type="dxa" w:w="50"/>
              <w:right w:type="dxa" w:w="90"/>
            </w:tcMar>
            <w:vAlign w:val="top"/>
          </w:tcPr>
          <w:p>
            <w:pPr>
              <w:spacing w:after="30" w:before="0" w:line="252"/>
            </w:pPr>
            <w:r>
              <w:rPr>
                <w:b w:val="false"/>
                <w:bCs w:val="false"/>
                <w:sz w:val="17"/>
                <w:szCs w:val="17"/>
              </w:rPr>
              <w:t xml:space="preserve">Abmahn-Playbook mit Kanzleikontakt und schnellem Evidenzzugriff</w:t>
            </w:r>
          </w:p>
        </w:tc>
        <w:tc>
          <w:tcPr>
            <w:tcW w:type="dxa" w:w="3085"/>
            <w:tcMar>
              <w:top w:type="dxa" w:w="50"/>
              <w:left w:type="dxa" w:w="90"/>
              <w:bottom w:type="dxa" w:w="50"/>
              <w:right w:type="dxa" w:w="90"/>
            </w:tcMar>
            <w:vAlign w:val="top"/>
          </w:tcPr>
          <w:p>
            <w:pPr>
              <w:spacing w:after="30" w:before="0" w:line="252"/>
            </w:pPr>
            <w:r>
              <w:rPr>
                <w:b w:val="false"/>
                <w:bCs w:val="false"/>
                <w:sz w:val="17"/>
                <w:szCs w:val="17"/>
              </w:rPr>
              <w:t xml:space="preserve">CMS, IKS: K12</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7"/>
                <w:szCs w:val="17"/>
              </w:rPr>
              <w:t xml:space="preserve">10</w:t>
            </w:r>
          </w:p>
        </w:tc>
        <w:tc>
          <w:tcPr>
            <w:tcW w:type="dxa" w:w="597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Halbjährlicher Register-Review mit Markt­stichprobe und Bericht an die Geschäfts­leitung</w:t>
            </w:r>
          </w:p>
        </w:tc>
        <w:tc>
          <w:tcPr>
            <w:tcW w:type="dxa" w:w="308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CMS: Überwachung; RMS: Berichterstattung</w:t>
            </w:r>
          </w:p>
        </w:tc>
      </w:tr>
    </w:tbl>
    <w:p>
      <w:pPr>
        <w:spacing w:after="120"/>
      </w:pPr>
    </w:p>
    <w:p>
      <w:pPr>
        <w:spacing w:after="120" w:before="0" w:line="276"/>
      </w:pPr>
      <w:r>
        <w:rPr>
          <w:b/>
          <w:bCs/>
        </w:rPr>
        <w:t xml:space="preserve">Einführungspfad (RB Kap. 6.10) [I1]:</w:t>
      </w:r>
      <w:r>
        <w:t xml:space="preserve"> In den Tagen 0–30 digitale Per-se-Verstöße bereinigen, neue Claims ohne Freigabe stoppen, die Inventur starten, einen Altbestandsplan und das Playbook aufsetzen. In den Tagen 30–90 Register, Negativliste, Freigabematrix, Richtlinie, Schulungen, Agenturklauseln und Dossiers für Hochrisiko-Claims. In den Tagen 90–180 die Integration in QM, UMS oder CMS, Lieferantenklauseln, der erste Review, der Bericht an die Geschäftsleitung und die Entscheidung über Zukunftsaussagen.</w:t>
      </w:r>
    </w:p>
    <w:p>
      <w:pPr>
        <w:pStyle w:val="Heading2"/>
        <w:keepNext/>
      </w:pPr>
      <w:r>
        <w:t xml:space="preserve">12.5 Neu oder integriert?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120"/>
        <w:gridCol w:w="1445"/>
        <w:gridCol w:w="2505"/>
        <w:gridCol w:w="3568"/>
      </w:tblGrid>
      <w:tr>
        <w:trPr>
          <w:cantSplit/>
          <w:tblHeader/>
        </w:trPr>
        <w:tc>
          <w:tcPr>
            <w:tcW w:type="dxa" w:w="2120"/>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Element</w:t>
            </w:r>
          </w:p>
        </w:tc>
        <w:tc>
          <w:tcPr>
            <w:tcW w:type="dxa" w:w="1445"/>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Eigenständig neu</w:t>
            </w:r>
          </w:p>
        </w:tc>
        <w:tc>
          <w:tcPr>
            <w:tcW w:type="dxa" w:w="2505"/>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In Bestehendes integriert</w:t>
            </w:r>
          </w:p>
        </w:tc>
        <w:tc>
          <w:tcPr>
            <w:tcW w:type="dxa" w:w="3568"/>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Begründung</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Claims-Richtlinie</w:t>
            </w:r>
          </w:p>
        </w:tc>
        <w:tc>
          <w:tcPr>
            <w:tcW w:type="dxa" w:w="1445"/>
            <w:tcMar>
              <w:top w:type="dxa" w:w="50"/>
              <w:left w:type="dxa" w:w="90"/>
              <w:bottom w:type="dxa" w:w="50"/>
              <w:right w:type="dxa" w:w="90"/>
            </w:tcMar>
            <w:vAlign w:val="top"/>
          </w:tcPr>
          <w:p>
            <w:pPr>
              <w:spacing w:after="30" w:before="0" w:line="252"/>
            </w:pPr>
            <w:r>
              <w:rPr>
                <w:b w:val="false"/>
                <w:bCs w:val="false"/>
                <w:sz w:val="17"/>
                <w:szCs w:val="17"/>
              </w:rPr>
              <w:t xml:space="preserve">ja, als Modul</w:t>
            </w:r>
          </w:p>
        </w:tc>
        <w:tc>
          <w:tcPr>
            <w:tcW w:type="dxa" w:w="2505"/>
            <w:tcMar>
              <w:top w:type="dxa" w:w="50"/>
              <w:left w:type="dxa" w:w="90"/>
              <w:bottom w:type="dxa" w:w="50"/>
              <w:right w:type="dxa" w:w="90"/>
            </w:tcMar>
            <w:vAlign w:val="top"/>
          </w:tcPr>
          <w:p>
            <w:pPr>
              <w:spacing w:after="30" w:before="0" w:line="252"/>
            </w:pPr>
            <w:r>
              <w:rPr>
                <w:b w:val="false"/>
                <w:bCs w:val="false"/>
                <w:sz w:val="17"/>
                <w:szCs w:val="17"/>
              </w:rPr>
              <w:t xml:space="preserve">Verweis aus dem Verhaltens­kodex</w:t>
            </w:r>
          </w:p>
        </w:tc>
        <w:tc>
          <w:tcPr>
            <w:tcW w:type="dxa" w:w="3568"/>
            <w:tcMar>
              <w:top w:type="dxa" w:w="50"/>
              <w:left w:type="dxa" w:w="90"/>
              <w:bottom w:type="dxa" w:w="50"/>
              <w:right w:type="dxa" w:w="90"/>
            </w:tcMar>
            <w:vAlign w:val="top"/>
          </w:tcPr>
          <w:p>
            <w:pPr>
              <w:spacing w:after="30" w:before="0" w:line="252"/>
            </w:pPr>
            <w:r>
              <w:rPr>
                <w:b w:val="false"/>
                <w:bCs w:val="false"/>
                <w:sz w:val="17"/>
                <w:szCs w:val="17"/>
              </w:rPr>
              <w:t xml:space="preserve">Sichtbarkeit und klare Regeln</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Claim-Register</w:t>
            </w:r>
          </w:p>
        </w:tc>
        <w:tc>
          <w:tcPr>
            <w:tcW w:type="dxa" w:w="144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ja</w:t>
            </w:r>
          </w:p>
        </w:tc>
        <w:tc>
          <w:tcPr>
            <w:tcW w:type="dxa" w:w="250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356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Existiert nirgends; Grundlage der Vollständigkeit</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Evidenz­dossier</w:t>
            </w:r>
          </w:p>
        </w:tc>
        <w:tc>
          <w:tcPr>
            <w:tcW w:type="dxa" w:w="1445"/>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505"/>
            <w:tcMar>
              <w:top w:type="dxa" w:w="50"/>
              <w:left w:type="dxa" w:w="90"/>
              <w:bottom w:type="dxa" w:w="50"/>
              <w:right w:type="dxa" w:w="90"/>
            </w:tcMar>
            <w:vAlign w:val="top"/>
          </w:tcPr>
          <w:p>
            <w:pPr>
              <w:spacing w:after="30" w:before="0" w:line="252"/>
            </w:pPr>
            <w:r>
              <w:rPr>
                <w:b w:val="false"/>
                <w:bCs w:val="false"/>
                <w:sz w:val="17"/>
                <w:szCs w:val="17"/>
              </w:rPr>
              <w:t xml:space="preserve">Dokumenten­lenkung, DMS</w:t>
            </w:r>
          </w:p>
        </w:tc>
        <w:tc>
          <w:tcPr>
            <w:tcW w:type="dxa" w:w="3568"/>
            <w:tcMar>
              <w:top w:type="dxa" w:w="50"/>
              <w:left w:type="dxa" w:w="90"/>
              <w:bottom w:type="dxa" w:w="50"/>
              <w:right w:type="dxa" w:w="90"/>
            </w:tcMar>
            <w:vAlign w:val="top"/>
          </w:tcPr>
          <w:p>
            <w:pPr>
              <w:spacing w:after="30" w:before="0" w:line="252"/>
            </w:pPr>
            <w:r>
              <w:rPr>
                <w:b w:val="false"/>
                <w:bCs w:val="false"/>
                <w:sz w:val="17"/>
                <w:szCs w:val="17"/>
              </w:rPr>
              <w:t xml:space="preserve">Ablage besteht; nur die Struktur ist neu</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Freigabe</w:t>
            </w:r>
          </w:p>
        </w:tc>
        <w:tc>
          <w:tcPr>
            <w:tcW w:type="dxa" w:w="144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50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bestehende Werbe- und Druck­freigabe</w:t>
            </w:r>
          </w:p>
        </w:tc>
        <w:tc>
          <w:tcPr>
            <w:tcW w:type="dxa" w:w="356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Kein zweiter Freigabeweg</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Risiko­bewertung</w:t>
            </w:r>
          </w:p>
        </w:tc>
        <w:tc>
          <w:tcPr>
            <w:tcW w:type="dxa" w:w="1445"/>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505"/>
            <w:tcMar>
              <w:top w:type="dxa" w:w="50"/>
              <w:left w:type="dxa" w:w="90"/>
              <w:bottom w:type="dxa" w:w="50"/>
              <w:right w:type="dxa" w:w="90"/>
            </w:tcMar>
            <w:vAlign w:val="top"/>
          </w:tcPr>
          <w:p>
            <w:pPr>
              <w:spacing w:after="30" w:before="0" w:line="252"/>
            </w:pPr>
            <w:r>
              <w:rPr>
                <w:b w:val="false"/>
                <w:bCs w:val="false"/>
                <w:sz w:val="17"/>
                <w:szCs w:val="17"/>
              </w:rPr>
              <w:t xml:space="preserve">Risikoinventar, Compliance-Risiko­analyse</w:t>
            </w:r>
          </w:p>
        </w:tc>
        <w:tc>
          <w:tcPr>
            <w:tcW w:type="dxa" w:w="3568"/>
            <w:tcMar>
              <w:top w:type="dxa" w:w="50"/>
              <w:left w:type="dxa" w:w="90"/>
              <w:bottom w:type="dxa" w:w="50"/>
              <w:right w:type="dxa" w:w="90"/>
            </w:tcMar>
            <w:vAlign w:val="top"/>
          </w:tcPr>
          <w:p>
            <w:pPr>
              <w:spacing w:after="30" w:before="0" w:line="252"/>
            </w:pPr>
            <w:r>
              <w:rPr>
                <w:b w:val="false"/>
                <w:bCs w:val="false"/>
                <w:sz w:val="17"/>
                <w:szCs w:val="17"/>
              </w:rPr>
              <w:t xml:space="preserve">Eine Methode für alle Risiken</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Schulung</w:t>
            </w:r>
          </w:p>
        </w:tc>
        <w:tc>
          <w:tcPr>
            <w:tcW w:type="dxa" w:w="144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50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Schulungs­plan</w:t>
            </w:r>
          </w:p>
        </w:tc>
        <w:tc>
          <w:tcPr>
            <w:tcW w:type="dxa" w:w="356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Vorhandene Formate nutzen</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Prozess Zukunfts­aussagen</w:t>
            </w:r>
          </w:p>
        </w:tc>
        <w:tc>
          <w:tcPr>
            <w:tcW w:type="dxa" w:w="1445"/>
            <w:tcMar>
              <w:top w:type="dxa" w:w="50"/>
              <w:left w:type="dxa" w:w="90"/>
              <w:bottom w:type="dxa" w:w="50"/>
              <w:right w:type="dxa" w:w="90"/>
            </w:tcMar>
            <w:vAlign w:val="top"/>
          </w:tcPr>
          <w:p>
            <w:pPr>
              <w:spacing w:after="30" w:before="0" w:line="252"/>
            </w:pPr>
            <w:r>
              <w:rPr>
                <w:b w:val="false"/>
                <w:bCs w:val="false"/>
                <w:sz w:val="17"/>
                <w:szCs w:val="17"/>
              </w:rPr>
              <w:t xml:space="preserve">ja, falls genutzt</w:t>
            </w:r>
          </w:p>
        </w:tc>
        <w:tc>
          <w:tcPr>
            <w:tcW w:type="dxa" w:w="2505"/>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3568"/>
            <w:tcMar>
              <w:top w:type="dxa" w:w="50"/>
              <w:left w:type="dxa" w:w="90"/>
              <w:bottom w:type="dxa" w:w="50"/>
              <w:right w:type="dxa" w:w="90"/>
            </w:tcMar>
            <w:vAlign w:val="top"/>
          </w:tcPr>
          <w:p>
            <w:pPr>
              <w:spacing w:after="30" w:before="0" w:line="252"/>
            </w:pPr>
            <w:r>
              <w:rPr>
                <w:b w:val="false"/>
                <w:bCs w:val="false"/>
                <w:sz w:val="17"/>
                <w:szCs w:val="17"/>
              </w:rPr>
              <w:t xml:space="preserve">Besondere Rechts­anforderung mit externer Prüfung</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Label-Register</w:t>
            </w:r>
          </w:p>
        </w:tc>
        <w:tc>
          <w:tcPr>
            <w:tcW w:type="dxa" w:w="144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ja, falls Siegel genutzt</w:t>
            </w:r>
          </w:p>
        </w:tc>
        <w:tc>
          <w:tcPr>
            <w:tcW w:type="dxa" w:w="250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auch als Teil des Claim-Registers möglich</w:t>
            </w:r>
          </w:p>
        </w:tc>
        <w:tc>
          <w:tcPr>
            <w:tcW w:type="dxa" w:w="356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Klein, aber spezifisch</w:t>
            </w:r>
          </w:p>
        </w:tc>
      </w:tr>
      <w:tr>
        <w:trPr>
          <w:cantSplit/>
        </w:trPr>
        <w:tc>
          <w:tcPr>
            <w:tcW w:type="dxa" w:w="2120"/>
            <w:tcMar>
              <w:top w:type="dxa" w:w="50"/>
              <w:left w:type="dxa" w:w="90"/>
              <w:bottom w:type="dxa" w:w="50"/>
              <w:right w:type="dxa" w:w="90"/>
            </w:tcMar>
            <w:vAlign w:val="top"/>
          </w:tcPr>
          <w:p>
            <w:pPr>
              <w:spacing w:after="30" w:before="0" w:line="252"/>
            </w:pPr>
            <w:r>
              <w:rPr>
                <w:b/>
                <w:bCs/>
                <w:sz w:val="17"/>
                <w:szCs w:val="17"/>
              </w:rPr>
              <w:t xml:space="preserve">Kontrollen</w:t>
            </w:r>
          </w:p>
        </w:tc>
        <w:tc>
          <w:tcPr>
            <w:tcW w:type="dxa" w:w="1445"/>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505"/>
            <w:tcMar>
              <w:top w:type="dxa" w:w="50"/>
              <w:left w:type="dxa" w:w="90"/>
              <w:bottom w:type="dxa" w:w="50"/>
              <w:right w:type="dxa" w:w="90"/>
            </w:tcMar>
            <w:vAlign w:val="top"/>
          </w:tcPr>
          <w:p>
            <w:pPr>
              <w:spacing w:after="30" w:before="0" w:line="252"/>
            </w:pPr>
            <w:r>
              <w:rPr>
                <w:b w:val="false"/>
                <w:bCs w:val="false"/>
                <w:sz w:val="17"/>
                <w:szCs w:val="17"/>
              </w:rPr>
              <w:t xml:space="preserve">Risiko-Kontroll-Matrix bzw. Prozessbeschreibungen</w:t>
            </w:r>
          </w:p>
        </w:tc>
        <w:tc>
          <w:tcPr>
            <w:tcW w:type="dxa" w:w="3568"/>
            <w:tcMar>
              <w:top w:type="dxa" w:w="50"/>
              <w:left w:type="dxa" w:w="90"/>
              <w:bottom w:type="dxa" w:w="50"/>
              <w:right w:type="dxa" w:w="90"/>
            </w:tcMar>
            <w:vAlign w:val="top"/>
          </w:tcPr>
          <w:p>
            <w:pPr>
              <w:spacing w:after="30" w:before="0" w:line="252"/>
            </w:pPr>
            <w:r>
              <w:rPr>
                <w:b w:val="false"/>
                <w:bCs w:val="false"/>
                <w:sz w:val="17"/>
                <w:szCs w:val="17"/>
              </w:rPr>
              <w:t xml:space="preserve">Prüf- und Testlogik besteht</w:t>
            </w:r>
          </w:p>
        </w:tc>
      </w:tr>
      <w:tr>
        <w:trPr>
          <w:cantSplit/>
        </w:trPr>
        <w:tc>
          <w:tcPr>
            <w:tcW w:type="dxa" w:w="2120"/>
            <w:shd w:fill="F3F5F7" w:color="auto" w:val="clear"/>
            <w:tcMar>
              <w:top w:type="dxa" w:w="50"/>
              <w:left w:type="dxa" w:w="90"/>
              <w:bottom w:type="dxa" w:w="50"/>
              <w:right w:type="dxa" w:w="90"/>
            </w:tcMar>
            <w:vAlign w:val="top"/>
          </w:tcPr>
          <w:p>
            <w:pPr>
              <w:spacing w:after="30" w:before="0" w:line="252"/>
            </w:pPr>
            <w:r>
              <w:rPr>
                <w:b/>
                <w:bCs/>
                <w:sz w:val="17"/>
                <w:szCs w:val="17"/>
              </w:rPr>
              <w:t xml:space="preserve">Monitoring und Reporting</w:t>
            </w:r>
          </w:p>
        </w:tc>
        <w:tc>
          <w:tcPr>
            <w:tcW w:type="dxa" w:w="144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w:t>
            </w:r>
          </w:p>
        </w:tc>
        <w:tc>
          <w:tcPr>
            <w:tcW w:type="dxa" w:w="2505"/>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Compliance- und Risiko­bericht</w:t>
            </w:r>
          </w:p>
        </w:tc>
        <w:tc>
          <w:tcPr>
            <w:tcW w:type="dxa" w:w="3568"/>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Keine Parallel­berichte</w:t>
            </w:r>
          </w:p>
        </w:tc>
      </w:tr>
    </w:tbl>
    <w:p>
      <w:pPr>
        <w:spacing w:after="0" w:before="0" w:line="20" w:lineRule="exact"/>
      </w:pPr>
      <w:r>
        <w:rPr>
          <w:sz w:val="2"/>
          <w:szCs w:val="2"/>
        </w:rPr>
        <w:t xml:space="preserve"/>
      </w:r>
    </w:p>
    <w:p>
      <w:pPr>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pPr>
    </w:p>
    <w:p>
      <w:pPr>
        <w:pStyle w:val="Heading2"/>
        <w:keepNext/>
      </w:pPr>
      <w:r>
        <w:t xml:space="preserve">12.6 Fünf Ausgangslagen im Vergleich</w:t>
      </w:r>
    </w:p>
    <w:p>
      <w:pPr>
        <w:spacing w:after="120" w:before="0" w:line="276"/>
      </w:pPr>
      <w:r>
        <w:t xml:space="preserve">Der Aufwand ist eine qualitative Einschätzung und hängt vor allem von der Zahl der Claims, dem B2C-Anteil und der Kanalvielfalt ab.</w:t>
      </w:r>
    </w:p>
    <w:tbl>
      <w:tblPr>
        <w:tblW w:type="dxa" w:w="14570"/>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2039"/>
        <w:gridCol w:w="2768"/>
        <w:gridCol w:w="2768"/>
        <w:gridCol w:w="3351"/>
        <w:gridCol w:w="1602"/>
        <w:gridCol w:w="2042"/>
      </w:tblGrid>
      <w:tr>
        <w:trPr>
          <w:cantSplit/>
          <w:tblHeader/>
        </w:trPr>
        <w:tc>
          <w:tcPr>
            <w:tcW w:type="dxa" w:w="2039"/>
            <w:shd w:fill="13233A" w:color="auto" w:val="clear"/>
            <w:tcMar>
              <w:top w:type="dxa" w:w="35"/>
              <w:left w:type="dxa" w:w="90"/>
              <w:bottom w:type="dxa" w:w="35"/>
              <w:right w:type="dxa" w:w="90"/>
            </w:tcMar>
            <w:vAlign w:val="top"/>
          </w:tcPr>
          <w:p>
            <w:pPr>
              <w:spacing w:after="30" w:before="0" w:line="252"/>
            </w:pPr>
            <w:r>
              <w:rPr>
                <w:b/>
                <w:bCs/>
                <w:color w:val="FFFFFF"/>
                <w:sz w:val="17"/>
                <w:szCs w:val="17"/>
              </w:rPr>
              <w:t xml:space="preserve">Ausgangslage</w:t>
            </w:r>
          </w:p>
        </w:tc>
        <w:tc>
          <w:tcPr>
            <w:tcW w:type="dxa" w:w="2768"/>
            <w:shd w:fill="13233A" w:color="auto" w:val="clear"/>
            <w:tcMar>
              <w:top w:type="dxa" w:w="35"/>
              <w:left w:type="dxa" w:w="90"/>
              <w:bottom w:type="dxa" w:w="35"/>
              <w:right w:type="dxa" w:w="90"/>
            </w:tcMar>
            <w:vAlign w:val="top"/>
          </w:tcPr>
          <w:p>
            <w:pPr>
              <w:spacing w:after="30" w:before="0" w:line="252"/>
            </w:pPr>
            <w:r>
              <w:rPr>
                <w:b/>
                <w:bCs/>
                <w:color w:val="FFFFFF"/>
                <w:sz w:val="17"/>
                <w:szCs w:val="17"/>
              </w:rPr>
              <w:t xml:space="preserve">Typisches Bild</w:t>
            </w:r>
          </w:p>
        </w:tc>
        <w:tc>
          <w:tcPr>
            <w:tcW w:type="dxa" w:w="2768"/>
            <w:shd w:fill="13233A" w:color="auto" w:val="clear"/>
            <w:tcMar>
              <w:top w:type="dxa" w:w="35"/>
              <w:left w:type="dxa" w:w="90"/>
              <w:bottom w:type="dxa" w:w="35"/>
              <w:right w:type="dxa" w:w="90"/>
            </w:tcMar>
            <w:vAlign w:val="top"/>
          </w:tcPr>
          <w:p>
            <w:pPr>
              <w:spacing w:after="30" w:before="0" w:line="252"/>
            </w:pPr>
            <w:r>
              <w:rPr>
                <w:b/>
                <w:bCs/>
                <w:color w:val="FFFFFF"/>
                <w:sz w:val="17"/>
                <w:szCs w:val="17"/>
              </w:rPr>
              <w:t xml:space="preserve">Integrationsanker</w:t>
            </w:r>
          </w:p>
        </w:tc>
        <w:tc>
          <w:tcPr>
            <w:tcW w:type="dxa" w:w="3351"/>
            <w:shd w:fill="13233A" w:color="auto" w:val="clear"/>
            <w:tcMar>
              <w:top w:type="dxa" w:w="35"/>
              <w:left w:type="dxa" w:w="90"/>
              <w:bottom w:type="dxa" w:w="35"/>
              <w:right w:type="dxa" w:w="90"/>
            </w:tcMar>
            <w:vAlign w:val="top"/>
          </w:tcPr>
          <w:p>
            <w:pPr>
              <w:spacing w:after="30" w:before="0" w:line="252"/>
            </w:pPr>
            <w:r>
              <w:rPr>
                <w:b/>
                <w:bCs/>
                <w:color w:val="FFFFFF"/>
                <w:sz w:val="17"/>
                <w:szCs w:val="17"/>
              </w:rPr>
              <w:t xml:space="preserve">Empfohlener Umfang</w:t>
            </w:r>
          </w:p>
        </w:tc>
        <w:tc>
          <w:tcPr>
            <w:tcW w:type="dxa" w:w="1602"/>
            <w:shd w:fill="13233A" w:color="auto" w:val="clear"/>
            <w:tcMar>
              <w:top w:type="dxa" w:w="35"/>
              <w:left w:type="dxa" w:w="90"/>
              <w:bottom w:type="dxa" w:w="35"/>
              <w:right w:type="dxa" w:w="90"/>
            </w:tcMar>
            <w:vAlign w:val="top"/>
          </w:tcPr>
          <w:p>
            <w:pPr>
              <w:spacing w:after="30" w:before="0" w:line="252"/>
            </w:pPr>
            <w:r>
              <w:rPr>
                <w:b/>
                <w:bCs/>
                <w:color w:val="FFFFFF"/>
                <w:sz w:val="17"/>
                <w:szCs w:val="17"/>
              </w:rPr>
              <w:t xml:space="preserve">Aufwand</w:t>
            </w:r>
          </w:p>
        </w:tc>
        <w:tc>
          <w:tcPr>
            <w:tcW w:type="dxa" w:w="2042"/>
            <w:shd w:fill="13233A" w:color="auto" w:val="clear"/>
            <w:tcMar>
              <w:top w:type="dxa" w:w="35"/>
              <w:left w:type="dxa" w:w="90"/>
              <w:bottom w:type="dxa" w:w="35"/>
              <w:right w:type="dxa" w:w="90"/>
            </w:tcMar>
            <w:vAlign w:val="top"/>
          </w:tcPr>
          <w:p>
            <w:pPr>
              <w:spacing w:after="30" w:before="0" w:line="252"/>
            </w:pPr>
            <w:r>
              <w:rPr>
                <w:b/>
                <w:bCs/>
                <w:color w:val="FFFFFF"/>
                <w:sz w:val="17"/>
                <w:szCs w:val="17"/>
              </w:rPr>
              <w:t xml:space="preserve">Stolpersteine</w:t>
            </w:r>
          </w:p>
        </w:tc>
      </w:tr>
      <w:tr>
        <w:trPr>
          <w:cantSplit/>
        </w:trPr>
        <w:tc>
          <w:tcPr>
            <w:tcW w:type="dxa" w:w="2039"/>
            <w:tcMar>
              <w:top w:type="dxa" w:w="35"/>
              <w:left w:type="dxa" w:w="90"/>
              <w:bottom w:type="dxa" w:w="35"/>
              <w:right w:type="dxa" w:w="90"/>
            </w:tcMar>
            <w:vAlign w:val="top"/>
          </w:tcPr>
          <w:p>
            <w:pPr>
              <w:spacing w:after="30" w:before="0" w:line="252"/>
            </w:pPr>
            <w:r>
              <w:rPr>
                <w:b/>
                <w:bCs/>
                <w:sz w:val="17"/>
                <w:szCs w:val="17"/>
              </w:rPr>
              <w:t xml:space="preserve">KMU ohne formales Management­system</w:t>
            </w:r>
          </w:p>
        </w:tc>
        <w:tc>
          <w:tcPr>
            <w:tcW w:type="dxa" w:w="2768"/>
            <w:tcMar>
              <w:top w:type="dxa" w:w="35"/>
              <w:left w:type="dxa" w:w="90"/>
              <w:bottom w:type="dxa" w:w="35"/>
              <w:right w:type="dxa" w:w="90"/>
            </w:tcMar>
            <w:vAlign w:val="top"/>
          </w:tcPr>
          <w:p>
            <w:pPr>
              <w:spacing w:after="30" w:before="0" w:line="252"/>
            </w:pPr>
            <w:r>
              <w:rPr>
                <w:b w:val="false"/>
                <w:bCs w:val="false"/>
                <w:sz w:val="17"/>
                <w:szCs w:val="17"/>
              </w:rPr>
              <w:t xml:space="preserve">Keine dokumentierten Prozesse; die Geschäfts­leitung entscheidet; Marketing oft mit Agentur; Rechtsfragen über eine externe Kanzlei.</w:t>
            </w:r>
          </w:p>
        </w:tc>
        <w:tc>
          <w:tcPr>
            <w:tcW w:type="dxa" w:w="2768"/>
            <w:tcMar>
              <w:top w:type="dxa" w:w="35"/>
              <w:left w:type="dxa" w:w="90"/>
              <w:bottom w:type="dxa" w:w="35"/>
              <w:right w:type="dxa" w:w="90"/>
            </w:tcMar>
            <w:vAlign w:val="top"/>
          </w:tcPr>
          <w:p>
            <w:pPr>
              <w:spacing w:after="30" w:before="0" w:line="252"/>
            </w:pPr>
            <w:r>
              <w:rPr>
                <w:b w:val="false"/>
                <w:bCs w:val="false"/>
                <w:sz w:val="17"/>
                <w:szCs w:val="17"/>
              </w:rPr>
              <w:t xml:space="preserve">Geschäfts­leitung als Freigabeinstanz; bestehende Werbe- und Druck­freigabe; Kanzleikontakt.</w:t>
            </w:r>
          </w:p>
        </w:tc>
        <w:tc>
          <w:tcPr>
            <w:tcW w:type="dxa" w:w="3351"/>
            <w:tcMar>
              <w:top w:type="dxa" w:w="35"/>
              <w:left w:type="dxa" w:w="90"/>
              <w:bottom w:type="dxa" w:w="35"/>
              <w:right w:type="dxa" w:w="90"/>
            </w:tcMar>
            <w:vAlign w:val="top"/>
          </w:tcPr>
          <w:p>
            <w:pPr>
              <w:spacing w:after="30" w:before="0" w:line="252"/>
            </w:pPr>
            <w:r>
              <w:rPr>
                <w:b w:val="false"/>
                <w:bCs w:val="false"/>
                <w:sz w:val="17"/>
                <w:szCs w:val="17"/>
              </w:rPr>
              <w:t xml:space="preserve">Die zehn Bausteine in schlanker Form: Beschluss, Inventur, Register als Tabelle, Negativliste, Freigabe­regel, Evidenzordner, Kurzschulung, Playbook.</w:t>
            </w:r>
          </w:p>
        </w:tc>
        <w:tc>
          <w:tcPr>
            <w:tcW w:type="dxa" w:w="1602"/>
            <w:tcMar>
              <w:top w:type="dxa" w:w="35"/>
              <w:left w:type="dxa" w:w="90"/>
              <w:bottom w:type="dxa" w:w="35"/>
              <w:right w:type="dxa" w:w="90"/>
            </w:tcMar>
            <w:vAlign w:val="top"/>
          </w:tcPr>
          <w:p>
            <w:pPr>
              <w:spacing w:after="30" w:before="0" w:line="252"/>
            </w:pPr>
            <w:r>
              <w:rPr>
                <w:b w:val="false"/>
                <w:bCs w:val="false"/>
                <w:sz w:val="17"/>
                <w:szCs w:val="17"/>
              </w:rPr>
              <w:t xml:space="preserve">gering bis mittel; Schwerpunkt ist die einmalige Inventur</w:t>
            </w:r>
          </w:p>
        </w:tc>
        <w:tc>
          <w:tcPr>
            <w:tcW w:type="dxa" w:w="2042"/>
            <w:tcMar>
              <w:top w:type="dxa" w:w="35"/>
              <w:left w:type="dxa" w:w="90"/>
              <w:bottom w:type="dxa" w:w="35"/>
              <w:right w:type="dxa" w:w="90"/>
            </w:tcMar>
            <w:vAlign w:val="top"/>
          </w:tcPr>
          <w:p>
            <w:pPr>
              <w:spacing w:after="30" w:before="0" w:line="252"/>
            </w:pPr>
            <w:r>
              <w:rPr>
                <w:b w:val="false"/>
                <w:bCs w:val="false"/>
                <w:sz w:val="17"/>
                <w:szCs w:val="17"/>
              </w:rPr>
              <w:t xml:space="preserve">Verantwortung bleibt diffus; Belege liegen in E-Mails; Agenturen formulieren frei.</w:t>
            </w:r>
          </w:p>
        </w:tc>
      </w:tr>
      <w:tr>
        <w:trPr>
          <w:cantSplit/>
        </w:trPr>
        <w:tc>
          <w:tcPr>
            <w:tcW w:type="dxa" w:w="2039"/>
            <w:shd w:fill="F3F5F7" w:color="auto" w:val="clear"/>
            <w:tcMar>
              <w:top w:type="dxa" w:w="35"/>
              <w:left w:type="dxa" w:w="90"/>
              <w:bottom w:type="dxa" w:w="35"/>
              <w:right w:type="dxa" w:w="90"/>
            </w:tcMar>
            <w:vAlign w:val="top"/>
          </w:tcPr>
          <w:p>
            <w:pPr>
              <w:spacing w:after="30" w:before="0" w:line="252"/>
            </w:pPr>
            <w:r>
              <w:rPr>
                <w:b/>
                <w:bCs/>
                <w:sz w:val="17"/>
                <w:szCs w:val="17"/>
              </w:rPr>
              <w:t xml:space="preserve">KMU mit CMS</w:t>
            </w:r>
          </w:p>
        </w:tc>
        <w:tc>
          <w:tcPr>
            <w:tcW w:type="dxa" w:w="2768"/>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Compliance-Verantwortliche, Richtlinien, Schulungen, Hinweis­geber­system; Schwerpunkt oft Korruption, Kartellrecht, Datenschutz.</w:t>
            </w:r>
          </w:p>
        </w:tc>
        <w:tc>
          <w:tcPr>
            <w:tcW w:type="dxa" w:w="2768"/>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Compliance-Risiko­analyse, Richtlinienwesen, Schulungs­plan, Hinweis­geber­system.</w:t>
            </w:r>
          </w:p>
        </w:tc>
        <w:tc>
          <w:tcPr>
            <w:tcW w:type="dxa" w:w="3351"/>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Risikofeld und Policy-Modul ergänzen; Claim-Governance-Owner benennen; Register und Freigabe an das Marketing andocken.</w:t>
            </w:r>
          </w:p>
        </w:tc>
        <w:tc>
          <w:tcPr>
            <w:tcW w:type="dxa" w:w="1602"/>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mittel; Wissen zu Lauterkeits­recht und Evidenz aufbauen</w:t>
            </w:r>
          </w:p>
        </w:tc>
        <w:tc>
          <w:tcPr>
            <w:tcW w:type="dxa" w:w="2042"/>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Das CMS bleibt bei Regeln stehen und erreicht die Prozesse nicht; Kontrollen im Marketing fehlen.</w:t>
            </w:r>
          </w:p>
        </w:tc>
      </w:tr>
      <w:tr>
        <w:trPr>
          <w:cantSplit/>
        </w:trPr>
        <w:tc>
          <w:tcPr>
            <w:tcW w:type="dxa" w:w="2039"/>
            <w:tcMar>
              <w:top w:type="dxa" w:w="35"/>
              <w:left w:type="dxa" w:w="90"/>
              <w:bottom w:type="dxa" w:w="35"/>
              <w:right w:type="dxa" w:w="90"/>
            </w:tcMar>
            <w:vAlign w:val="top"/>
          </w:tcPr>
          <w:p>
            <w:pPr>
              <w:spacing w:after="30" w:before="0" w:line="252"/>
            </w:pPr>
            <w:r>
              <w:rPr>
                <w:b/>
                <w:bCs/>
                <w:sz w:val="17"/>
                <w:szCs w:val="17"/>
              </w:rPr>
              <w:t xml:space="preserve">KMU mit ISO-Management­systemen (9001, 14001, 50001)</w:t>
            </w:r>
          </w:p>
        </w:tc>
        <w:tc>
          <w:tcPr>
            <w:tcW w:type="dxa" w:w="2768"/>
            <w:tcMar>
              <w:top w:type="dxa" w:w="35"/>
              <w:left w:type="dxa" w:w="90"/>
              <w:bottom w:type="dxa" w:w="35"/>
              <w:right w:type="dxa" w:w="90"/>
            </w:tcMar>
            <w:vAlign w:val="top"/>
          </w:tcPr>
          <w:p>
            <w:pPr>
              <w:spacing w:after="30" w:before="0" w:line="252"/>
            </w:pPr>
            <w:r>
              <w:rPr>
                <w:b w:val="false"/>
                <w:bCs w:val="false"/>
                <w:sz w:val="17"/>
                <w:szCs w:val="17"/>
              </w:rPr>
              <w:t xml:space="preserve">Dokumenten­lenkung, Änderungs­lenkung, Lieferanten­bewertung, interne Audits, Management­bewertung.</w:t>
            </w:r>
          </w:p>
        </w:tc>
        <w:tc>
          <w:tcPr>
            <w:tcW w:type="dxa" w:w="2768"/>
            <w:tcMar>
              <w:top w:type="dxa" w:w="35"/>
              <w:left w:type="dxa" w:w="90"/>
              <w:bottom w:type="dxa" w:w="35"/>
              <w:right w:type="dxa" w:w="90"/>
            </w:tcMar>
            <w:vAlign w:val="top"/>
          </w:tcPr>
          <w:p>
            <w:pPr>
              <w:spacing w:after="30" w:before="0" w:line="252"/>
            </w:pPr>
            <w:r>
              <w:rPr>
                <w:b w:val="false"/>
                <w:bCs w:val="false"/>
                <w:sz w:val="17"/>
                <w:szCs w:val="17"/>
              </w:rPr>
              <w:t xml:space="preserve">ISO 14001 Abschnitte 6.1.3, 7.4 und 9.1.2; Dokumenten- und Änderungs­lenkung nach ISO 9001; interne Audits </w:t>
            </w:r>
            <w:r>
              <w:rPr>
                <w:b w:val="false"/>
                <w:bCs w:val="false"/>
                <w:color w:val="5E6B78"/>
                <w:sz w:val="14"/>
                <w:szCs w:val="14"/>
              </w:rPr>
              <w:t xml:space="preserve">[S10]</w:t>
            </w:r>
            <w:r>
              <w:rPr>
                <w:b w:val="false"/>
                <w:bCs w:val="false"/>
                <w:sz w:val="17"/>
                <w:szCs w:val="17"/>
              </w:rPr>
              <w:t xml:space="preserve">.</w:t>
            </w:r>
          </w:p>
        </w:tc>
        <w:tc>
          <w:tcPr>
            <w:tcW w:type="dxa" w:w="3351"/>
            <w:tcMar>
              <w:top w:type="dxa" w:w="35"/>
              <w:left w:type="dxa" w:w="90"/>
              <w:bottom w:type="dxa" w:w="35"/>
              <w:right w:type="dxa" w:w="90"/>
            </w:tcMar>
            <w:vAlign w:val="top"/>
          </w:tcPr>
          <w:p>
            <w:pPr>
              <w:spacing w:after="30" w:before="0" w:line="252"/>
            </w:pPr>
            <w:r>
              <w:rPr>
                <w:b w:val="false"/>
                <w:bCs w:val="false"/>
                <w:sz w:val="17"/>
                <w:szCs w:val="17"/>
              </w:rPr>
              <w:t xml:space="preserve">Claims-Modul in die harmonisierte Grundstruktur einhängen (RB Kap. 5.3) </w:t>
            </w:r>
            <w:r>
              <w:rPr>
                <w:b w:val="false"/>
                <w:bCs w:val="false"/>
                <w:color w:val="5E6B78"/>
                <w:sz w:val="14"/>
                <w:szCs w:val="14"/>
              </w:rPr>
              <w:t xml:space="preserve">[I1]</w:t>
            </w:r>
            <w:r>
              <w:rPr>
                <w:b w:val="false"/>
                <w:bCs w:val="false"/>
                <w:sz w:val="17"/>
                <w:szCs w:val="17"/>
              </w:rPr>
              <w:t xml:space="preserve">; Claim-Stichprobe im internen Audit.</w:t>
            </w:r>
          </w:p>
        </w:tc>
        <w:tc>
          <w:tcPr>
            <w:tcW w:type="dxa" w:w="1602"/>
            <w:tcMar>
              <w:top w:type="dxa" w:w="35"/>
              <w:left w:type="dxa" w:w="90"/>
              <w:bottom w:type="dxa" w:w="35"/>
              <w:right w:type="dxa" w:w="90"/>
            </w:tcMar>
            <w:vAlign w:val="top"/>
          </w:tcPr>
          <w:p>
            <w:pPr>
              <w:spacing w:after="30" w:before="0" w:line="252"/>
            </w:pPr>
            <w:r>
              <w:rPr>
                <w:b w:val="false"/>
                <w:bCs w:val="false"/>
                <w:sz w:val="17"/>
                <w:szCs w:val="17"/>
              </w:rPr>
              <w:t xml:space="preserve">gering bis mittel; beste Wieder­verwendung</w:t>
            </w:r>
          </w:p>
        </w:tc>
        <w:tc>
          <w:tcPr>
            <w:tcW w:type="dxa" w:w="2042"/>
            <w:tcMar>
              <w:top w:type="dxa" w:w="35"/>
              <w:left w:type="dxa" w:w="90"/>
              <w:bottom w:type="dxa" w:w="35"/>
              <w:right w:type="dxa" w:w="90"/>
            </w:tcMar>
            <w:vAlign w:val="top"/>
          </w:tcPr>
          <w:p>
            <w:pPr>
              <w:spacing w:after="30" w:before="0" w:line="252"/>
            </w:pPr>
            <w:r>
              <w:rPr>
                <w:b w:val="false"/>
                <w:bCs w:val="false"/>
                <w:sz w:val="17"/>
                <w:szCs w:val="17"/>
              </w:rPr>
              <w:t xml:space="preserve">Marketing liegt außerhalb des Systems; im QM fehlt Rechtskompetenz.</w:t>
            </w:r>
          </w:p>
        </w:tc>
      </w:tr>
      <w:tr>
        <w:trPr>
          <w:cantSplit/>
        </w:trPr>
        <w:tc>
          <w:tcPr>
            <w:tcW w:type="dxa" w:w="2039"/>
            <w:shd w:fill="F3F5F7" w:color="auto" w:val="clear"/>
            <w:tcMar>
              <w:top w:type="dxa" w:w="35"/>
              <w:left w:type="dxa" w:w="90"/>
              <w:bottom w:type="dxa" w:w="35"/>
              <w:right w:type="dxa" w:w="90"/>
            </w:tcMar>
            <w:vAlign w:val="top"/>
          </w:tcPr>
          <w:p>
            <w:pPr>
              <w:spacing w:after="30" w:before="0" w:line="252"/>
            </w:pPr>
            <w:r>
              <w:rPr>
                <w:b/>
                <w:bCs/>
                <w:sz w:val="17"/>
                <w:szCs w:val="17"/>
              </w:rPr>
              <w:t xml:space="preserve">KMU mit etabliertem RMS und IKS</w:t>
            </w:r>
          </w:p>
        </w:tc>
        <w:tc>
          <w:tcPr>
            <w:tcW w:type="dxa" w:w="2768"/>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Risikoinventar, Risiko-Kontroll-Matrix, Kontroll­tests, etwa wegen Anforderungen von Banken, Investoren oder Konzernkunden.</w:t>
            </w:r>
          </w:p>
        </w:tc>
        <w:tc>
          <w:tcPr>
            <w:tcW w:type="dxa" w:w="2768"/>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Risiko­katalog, Risiko-Kontroll-Matrix, Kontroll­test­plan, Risiko­bericht.</w:t>
            </w:r>
          </w:p>
        </w:tc>
        <w:tc>
          <w:tcPr>
            <w:tcW w:type="dxa" w:w="3351"/>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Unter­kategorie Claim-Risiko; Prozess „Kommunikation und Produkt­aussagen“ mit K1–K12; Frühwarn­indikatoren.</w:t>
            </w:r>
          </w:p>
        </w:tc>
        <w:tc>
          <w:tcPr>
            <w:tcW w:type="dxa" w:w="1602"/>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mittel; neu ist die Kontroll­dokumentation im Marketing</w:t>
            </w:r>
          </w:p>
        </w:tc>
        <w:tc>
          <w:tcPr>
            <w:tcW w:type="dxa" w:w="2042"/>
            <w:shd w:fill="F3F5F7" w:color="auto" w:val="clear"/>
            <w:tcMar>
              <w:top w:type="dxa" w:w="35"/>
              <w:left w:type="dxa" w:w="90"/>
              <w:bottom w:type="dxa" w:w="35"/>
              <w:right w:type="dxa" w:w="90"/>
            </w:tcMar>
            <w:vAlign w:val="top"/>
          </w:tcPr>
          <w:p>
            <w:pPr>
              <w:spacing w:after="30" w:before="0" w:line="252"/>
            </w:pPr>
            <w:r>
              <w:rPr>
                <w:b w:val="false"/>
                <w:bCs w:val="false"/>
                <w:sz w:val="17"/>
                <w:szCs w:val="17"/>
              </w:rPr>
              <w:t xml:space="preserve">Überformalisierung bremst das Marketing; Einzelclaims landen im Risikoinventar statt im Register.</w:t>
            </w:r>
          </w:p>
        </w:tc>
      </w:tr>
      <w:tr>
        <w:trPr>
          <w:cantSplit/>
        </w:trPr>
        <w:tc>
          <w:tcPr>
            <w:tcW w:type="dxa" w:w="2039"/>
            <w:tcMar>
              <w:top w:type="dxa" w:w="35"/>
              <w:left w:type="dxa" w:w="90"/>
              <w:bottom w:type="dxa" w:w="35"/>
              <w:right w:type="dxa" w:w="90"/>
            </w:tcMar>
            <w:vAlign w:val="top"/>
          </w:tcPr>
          <w:p>
            <w:pPr>
              <w:spacing w:after="30" w:before="0" w:line="252"/>
            </w:pPr>
            <w:r>
              <w:rPr>
                <w:b/>
                <w:bCs/>
                <w:sz w:val="17"/>
                <w:szCs w:val="17"/>
              </w:rPr>
              <w:t xml:space="preserve">Größere Unternehmen und Konzerne</w:t>
            </w:r>
          </w:p>
        </w:tc>
        <w:tc>
          <w:tcPr>
            <w:tcW w:type="dxa" w:w="2768"/>
            <w:tcMar>
              <w:top w:type="dxa" w:w="35"/>
              <w:left w:type="dxa" w:w="90"/>
              <w:bottom w:type="dxa" w:w="35"/>
              <w:right w:type="dxa" w:w="90"/>
            </w:tcMar>
            <w:vAlign w:val="top"/>
          </w:tcPr>
          <w:p>
            <w:pPr>
              <w:spacing w:after="30" w:before="0" w:line="252"/>
            </w:pPr>
            <w:r>
              <w:rPr>
                <w:b w:val="false"/>
                <w:bCs w:val="false"/>
                <w:sz w:val="17"/>
                <w:szCs w:val="17"/>
              </w:rPr>
              <w:t xml:space="preserve">Integriertes GRC, Interne Revision, gegebenenfalls § 91 Abs. 3 AktG und Nachhaltigkeits­berichterstattung; mehrere Marken und Länder.</w:t>
            </w:r>
          </w:p>
        </w:tc>
        <w:tc>
          <w:tcPr>
            <w:tcW w:type="dxa" w:w="2768"/>
            <w:tcMar>
              <w:top w:type="dxa" w:w="35"/>
              <w:left w:type="dxa" w:w="90"/>
              <w:bottom w:type="dxa" w:w="35"/>
              <w:right w:type="dxa" w:w="90"/>
            </w:tcMar>
            <w:vAlign w:val="top"/>
          </w:tcPr>
          <w:p>
            <w:pPr>
              <w:spacing w:after="30" w:before="0" w:line="252"/>
            </w:pPr>
            <w:r>
              <w:rPr>
                <w:b w:val="false"/>
                <w:bCs w:val="false"/>
                <w:sz w:val="17"/>
                <w:szCs w:val="17"/>
              </w:rPr>
              <w:t xml:space="preserve">GRC-Werkzeug, Konzern­richtlinien, Three-Lines-Organisation, Kontrollen der Nachhaltigkeits­berichterstattung.</w:t>
            </w:r>
          </w:p>
        </w:tc>
        <w:tc>
          <w:tcPr>
            <w:tcW w:type="dxa" w:w="3351"/>
            <w:tcMar>
              <w:top w:type="dxa" w:w="35"/>
              <w:left w:type="dxa" w:w="90"/>
              <w:bottom w:type="dxa" w:w="35"/>
              <w:right w:type="dxa" w:w="90"/>
            </w:tcMar>
            <w:vAlign w:val="top"/>
          </w:tcPr>
          <w:p>
            <w:pPr>
              <w:spacing w:after="30" w:before="0" w:line="252"/>
            </w:pPr>
            <w:r>
              <w:rPr>
                <w:b w:val="false"/>
                <w:bCs w:val="false"/>
                <w:sz w:val="17"/>
                <w:szCs w:val="17"/>
              </w:rPr>
              <w:t xml:space="preserve">Konzernweite Claims-Richtlinie; Claims Committee; Workflow mit Audit Trail; Konsistenz­abgleich zwischen Bericht, Transitions­plan und Marketing; Prüfung durch die Revision; gegebenenfalls Prüfung eines CMS-Teilbereichs nach IDW PS 980 </w:t>
            </w:r>
            <w:r>
              <w:rPr>
                <w:b w:val="false"/>
                <w:bCs w:val="false"/>
                <w:color w:val="5E6B78"/>
                <w:sz w:val="14"/>
                <w:szCs w:val="14"/>
              </w:rPr>
              <w:t xml:space="preserve">[S1]</w:t>
            </w:r>
            <w:r>
              <w:rPr>
                <w:b w:val="false"/>
                <w:bCs w:val="false"/>
                <w:sz w:val="17"/>
                <w:szCs w:val="17"/>
              </w:rPr>
              <w:t xml:space="preserve">.</w:t>
            </w:r>
          </w:p>
        </w:tc>
        <w:tc>
          <w:tcPr>
            <w:tcW w:type="dxa" w:w="1602"/>
            <w:tcMar>
              <w:top w:type="dxa" w:w="35"/>
              <w:left w:type="dxa" w:w="90"/>
              <w:bottom w:type="dxa" w:w="35"/>
              <w:right w:type="dxa" w:w="90"/>
            </w:tcMar>
            <w:vAlign w:val="top"/>
          </w:tcPr>
          <w:p>
            <w:pPr>
              <w:spacing w:after="30" w:before="0" w:line="252"/>
            </w:pPr>
            <w:r>
              <w:rPr>
                <w:b w:val="false"/>
                <w:bCs w:val="false"/>
                <w:sz w:val="17"/>
                <w:szCs w:val="17"/>
              </w:rPr>
              <w:t xml:space="preserve">absolut hoch, relativ gering; Hauptaufwand ist Koordination</w:t>
            </w:r>
          </w:p>
        </w:tc>
        <w:tc>
          <w:tcPr>
            <w:tcW w:type="dxa" w:w="2042"/>
            <w:tcMar>
              <w:top w:type="dxa" w:w="35"/>
              <w:left w:type="dxa" w:w="90"/>
              <w:bottom w:type="dxa" w:w="35"/>
              <w:right w:type="dxa" w:w="90"/>
            </w:tcMar>
            <w:vAlign w:val="top"/>
          </w:tcPr>
          <w:p>
            <w:pPr>
              <w:spacing w:after="30" w:before="0" w:line="252"/>
            </w:pPr>
            <w:r>
              <w:rPr>
                <w:b w:val="false"/>
                <w:bCs w:val="false"/>
                <w:sz w:val="17"/>
                <w:szCs w:val="17"/>
              </w:rPr>
              <w:t xml:space="preserve">Ländervarianten (z. B. eigene Altbestands­regel in Österreich); dezentrale Marketing­einheiten; Zukunftsziele aus der Konzernstrategie.</w:t>
            </w:r>
          </w:p>
        </w:tc>
      </w:tr>
    </w:tbl>
    <w:p>
      <w:pPr>
        <w:spacing w:after="120"/>
      </w:pPr>
    </w:p>
    <w:p>
      <w:pPr>
        <w:pStyle w:val="Heading1"/>
        <w:keepNext/>
        <w:pageBreakBefore/>
      </w:pPr>
      <w:r>
        <w:t xml:space="preserve">13 Tabelle 1: Gap-Analyse je System</w:t>
      </w:r>
    </w:p>
    <w:p>
      <w:pPr>
        <w:spacing w:after="120" w:before="0" w:line="276"/>
      </w:pPr>
      <w:r>
        <w:t xml:space="preserve">Die Tabelle fasst zusammen, was je System neu aufzunehmen und was anzupassen ist. </w:t>
      </w:r>
      <w:r>
        <w:rPr>
          <w:b/>
          <w:bCs/>
        </w:rPr>
        <w:t xml:space="preserve">KMU-Relevanz:</w:t>
      </w:r>
      <w:r>
        <w:t xml:space="preserve"> hoch = auch im kleinsten Rahmen nötig, sofern das Unternehmen Claims gegenüber Verbrauchern nutzt; mittel = abhängig von der Exposition; gering = eher für größere Unternehmen; bedingt = nur bei Nutzung der betreffenden Aussage.</w:t>
      </w:r>
    </w:p>
    <w:tbl>
      <w:tblPr>
        <w:tblW w:type="dxa" w:w="14570"/>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1019"/>
        <w:gridCol w:w="2185"/>
        <w:gridCol w:w="3351"/>
        <w:gridCol w:w="3351"/>
        <w:gridCol w:w="3205"/>
        <w:gridCol w:w="1459"/>
      </w:tblGrid>
      <w:tr>
        <w:trPr>
          <w:cantSplit/>
          <w:tblHeader/>
        </w:trPr>
        <w:tc>
          <w:tcPr>
            <w:tcW w:type="dxa" w:w="1019"/>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System</w:t>
            </w:r>
          </w:p>
        </w:tc>
        <w:tc>
          <w:tcPr>
            <w:tcW w:type="dxa" w:w="2185"/>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EmpCo-Thema</w:t>
            </w:r>
          </w:p>
        </w:tc>
        <w:tc>
          <w:tcPr>
            <w:tcW w:type="dxa" w:w="3351"/>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Neu aufzunehmen</w:t>
            </w:r>
          </w:p>
        </w:tc>
        <w:tc>
          <w:tcPr>
            <w:tcW w:type="dxa" w:w="3351"/>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Bestehendes anzupassen</w:t>
            </w:r>
          </w:p>
        </w:tc>
        <w:tc>
          <w:tcPr>
            <w:tcW w:type="dxa" w:w="3205"/>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Beispiel für Umsetzung</w:t>
            </w:r>
          </w:p>
        </w:tc>
        <w:tc>
          <w:tcPr>
            <w:tcW w:type="dxa" w:w="1459"/>
            <w:shd w:fill="13233A" w:color="auto" w:val="clear"/>
            <w:tcMar>
              <w:top w:type="dxa" w:w="30"/>
              <w:left w:type="dxa" w:w="90"/>
              <w:bottom w:type="dxa" w:w="30"/>
              <w:right w:type="dxa" w:w="90"/>
            </w:tcMar>
            <w:vAlign w:val="top"/>
          </w:tcPr>
          <w:p>
            <w:pPr>
              <w:spacing w:after="30" w:before="0" w:line="252"/>
            </w:pPr>
            <w:r>
              <w:rPr>
                <w:b/>
                <w:bCs/>
                <w:color w:val="FFFFFF"/>
                <w:sz w:val="16"/>
                <w:szCs w:val="16"/>
              </w:rPr>
              <w:t xml:space="preserve">KMU-Relevanz</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RMS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Claim-Risiko als Rechts- und Reputations­risiko (A1–A14)</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Unter­kategorie „Claim-Risiko“ </w:t>
            </w:r>
            <w:r>
              <w:rPr>
                <w:b/>
                <w:bCs/>
                <w:color w:val="1F6F63"/>
                <w:sz w:val="14"/>
                <w:szCs w:val="14"/>
              </w:rPr>
              <w:t xml:space="preserve">[Organisation]</w:t>
            </w:r>
            <w:r>
              <w:rPr>
                <w:b w:val="false"/>
                <w:bCs w:val="false"/>
                <w:sz w:val="16"/>
                <w:szCs w:val="16"/>
              </w:rPr>
              <w:t xml:space="preserve">; Risk Owner </w:t>
            </w:r>
            <w:r>
              <w:rPr>
                <w:b/>
                <w:bCs/>
                <w:color w:val="1F6F63"/>
                <w:sz w:val="14"/>
                <w:szCs w:val="14"/>
              </w:rPr>
              <w:t xml:space="preserve">[Organisation]</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Risiko­katalog; Bewertungskriterien um Vertragsstrafe, Rückruf und Neudruck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Eintrag „unzulässige oder unbelegte Claims“ mit Treibern und Bewertung</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RMS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Exposition und Frühwarnung</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Treiber­katalog </w:t>
            </w:r>
            <w:r>
              <w:rPr>
                <w:b/>
                <w:bCs/>
                <w:color w:val="1F6F63"/>
                <w:sz w:val="14"/>
                <w:szCs w:val="14"/>
              </w:rPr>
              <w:t xml:space="preserve">[Organisation]</w:t>
            </w:r>
            <w:r>
              <w:rPr>
                <w:b w:val="false"/>
                <w:bCs w:val="false"/>
                <w:sz w:val="16"/>
                <w:szCs w:val="16"/>
              </w:rPr>
              <w:t xml:space="preserve">; Frühwarn­indikatoren </w:t>
            </w:r>
            <w:r>
              <w:rPr>
                <w:b/>
                <w:bCs/>
                <w:color w:val="5B4B8A"/>
                <w:sz w:val="14"/>
                <w:szCs w:val="14"/>
              </w:rPr>
              <w:t xml:space="preserve">[Best Practice]</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Anlassbezogene Risiko­inventur; Risiko­bericht </w:t>
            </w:r>
            <w:r>
              <w:rPr>
                <w:b/>
                <w:bCs/>
                <w:color w:val="1F6F63"/>
                <w:sz w:val="14"/>
                <w:szCs w:val="14"/>
              </w:rPr>
              <w:t xml:space="preserve">[Organisation]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Indikator „Claims ohne vollständiges Dossier“ im Quartals­bericht</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mittel</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RMS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Risiko­appetit</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Aussage zum Risiko­appetit für Claims </w:t>
            </w:r>
            <w:r>
              <w:rPr>
                <w:b/>
                <w:bCs/>
                <w:color w:val="1F6F63"/>
                <w:sz w:val="14"/>
                <w:szCs w:val="14"/>
              </w:rPr>
              <w:t xml:space="preserve">[Organisation]</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Risikostrategie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„Keine allgemeinen Umwelt­aussagen; keine produktbezogene Kompensationsneutralität“</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mittel</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RMS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Zukunfts­aussagen (A6)</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Szenario Zielverfehlung </w:t>
            </w:r>
            <w:r>
              <w:rPr>
                <w:b/>
                <w:bCs/>
                <w:color w:val="5B4B8A"/>
                <w:sz w:val="14"/>
                <w:szCs w:val="14"/>
              </w:rPr>
              <w:t xml:space="preserve">[Best Practice]</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Verknüpfung mit Strategie und Transitions­plan </w:t>
            </w:r>
            <w:r>
              <w:rPr>
                <w:b/>
                <w:bCs/>
                <w:color w:val="5B4B8A"/>
                <w:sz w:val="14"/>
                <w:szCs w:val="14"/>
              </w:rPr>
              <w:t xml:space="preserve">[Best Practice]</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Kosten der externen Prüfung vor der Entscheidung bewerten</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bedingt</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RMS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Altbestände (A14)</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 (zeitlich befristet)</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Operatives Risiko für Bestände und Neuverpackung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Bestandsliste mit Beseitigungs­plan und Kosten</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 bei Verpackungen</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RMS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Lieferanten­nachweise</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Treiber im Claim-Risiko </w:t>
            </w:r>
            <w:r>
              <w:rPr>
                <w:b/>
                <w:bCs/>
                <w:color w:val="1F6F63"/>
                <w:sz w:val="14"/>
                <w:szCs w:val="14"/>
              </w:rPr>
              <w:t xml:space="preserve">[Organisation]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Lieferanten­risiko­bewertung um Nachweisqualität </w:t>
            </w:r>
            <w:r>
              <w:rPr>
                <w:b/>
                <w:bCs/>
                <w:color w:val="1F6F63"/>
                <w:sz w:val="14"/>
                <w:szCs w:val="14"/>
              </w:rPr>
              <w:t xml:space="preserve">[Organisation]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Kriterium „Zertifikat vorgelegt und gültig“</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mittel</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Neue Rechts­pflichten (A1–A14)</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Pflichten im Register </w:t>
            </w:r>
            <w:r>
              <w:rPr>
                <w:b/>
                <w:bCs/>
                <w:color w:val="1F6F63"/>
                <w:sz w:val="14"/>
                <w:szCs w:val="14"/>
              </w:rPr>
              <w:t xml:space="preserve">[Organisation]</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Pflichten­register, Compliance-Risiko­analyse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Pflichten­register mit Fundstellen aus UWG n. F. und EGBGB</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Regeln für Claims (A2–A5, A8, A10)</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Claims-Richtlinie mit Negativliste und Claim-Bibliothek </w:t>
            </w:r>
            <w:r>
              <w:rPr>
                <w:b/>
                <w:bCs/>
                <w:color w:val="1F6F63"/>
                <w:sz w:val="14"/>
                <w:szCs w:val="14"/>
              </w:rPr>
              <w:t xml:space="preserve">[Organisation]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Marketing-, Social-Media- und Marken­richtlinien </w:t>
            </w:r>
            <w:r>
              <w:rPr>
                <w:b/>
                <w:bCs/>
                <w:color w:val="1F6F63"/>
                <w:sz w:val="14"/>
                <w:szCs w:val="14"/>
              </w:rPr>
              <w:t xml:space="preserve">[Organisation]</w:t>
            </w:r>
            <w:r>
              <w:rPr>
                <w:b w:val="false"/>
                <w:bCs w:val="false"/>
                <w:sz w:val="16"/>
                <w:szCs w:val="16"/>
              </w:rPr>
              <w:t xml:space="preserve">; Verhaltens­kodex </w:t>
            </w:r>
            <w:r>
              <w:rPr>
                <w:b/>
                <w:bCs/>
                <w:color w:val="5B4B8A"/>
                <w:sz w:val="14"/>
                <w:szCs w:val="14"/>
              </w:rPr>
              <w:t xml:space="preserve">[Best Practice]</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Dreiseitige Richtlinie, beschlossen von der Geschäfts­leitung</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Zuständigkeit</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Claim-Governance-Owner; fachliche Claim-Owner </w:t>
            </w:r>
            <w:r>
              <w:rPr>
                <w:b/>
                <w:bCs/>
                <w:color w:val="1F6F63"/>
                <w:sz w:val="14"/>
                <w:szCs w:val="14"/>
              </w:rPr>
              <w:t xml:space="preserve">[Organisation]</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Compliance-Organisation, RACI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QM-Leitung als Owner im KMU</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Vollständigkeit und Nachweis (A12)</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Claim-Register </w:t>
            </w:r>
            <w:r>
              <w:rPr>
                <w:b/>
                <w:bCs/>
                <w:color w:val="1F6F63"/>
                <w:sz w:val="14"/>
                <w:szCs w:val="14"/>
              </w:rPr>
              <w:t xml:space="preserve">[Organisation]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Dokumentationsvorgaben </w:t>
            </w:r>
            <w:r>
              <w:rPr>
                <w:b/>
                <w:bCs/>
                <w:color w:val="1F6F63"/>
                <w:sz w:val="14"/>
                <w:szCs w:val="14"/>
              </w:rPr>
              <w:t xml:space="preserve">[Organisation]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Tabelle mit Claim-ID, Kanal, Evidenzlink, Ablaufdatum</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Siegel (A3)</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Label-Register </w:t>
            </w:r>
            <w:r>
              <w:rPr>
                <w:b/>
                <w:bCs/>
                <w:color w:val="1F6F63"/>
                <w:sz w:val="14"/>
                <w:szCs w:val="14"/>
              </w:rPr>
              <w:t xml:space="preserve">[Organisation]</w:t>
            </w:r>
            <w:r>
              <w:rPr>
                <w:b w:val="false"/>
                <w:bCs w:val="false"/>
                <w:sz w:val="16"/>
                <w:szCs w:val="16"/>
              </w:rPr>
              <w:t xml:space="preserve">, dient </w:t>
            </w:r>
            <w:r>
              <w:rPr>
                <w:b/>
                <w:bCs/>
                <w:color w:val="B04A16"/>
                <w:sz w:val="14"/>
                <w:szCs w:val="14"/>
              </w:rPr>
              <w:t xml:space="preserve">[Pflicht]</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Produkt- und Verpackungs­richtlinien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Prüfung der vier Systemkriterien je Siegel</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bedingt</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Zukunfts­aussagen (A6)</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Sonder­prozess mit Plan und externer Prüfung </w:t>
            </w:r>
            <w:r>
              <w:rPr>
                <w:b/>
                <w:bCs/>
                <w:color w:val="B04A16"/>
                <w:sz w:val="14"/>
                <w:szCs w:val="14"/>
              </w:rPr>
              <w:t xml:space="preserve">[Pflicht]</w:t>
            </w:r>
            <w:r>
              <w:rPr>
                <w:b w:val="false"/>
                <w:bCs w:val="false"/>
                <w:sz w:val="16"/>
                <w:szCs w:val="16"/>
              </w:rPr>
              <w:t xml:space="preserve"> (bedingt)</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Strategie- und Zielprozess </w:t>
            </w:r>
            <w:r>
              <w:rPr>
                <w:b/>
                <w:bCs/>
                <w:color w:val="1F6F63"/>
                <w:sz w:val="14"/>
                <w:szCs w:val="14"/>
              </w:rPr>
              <w:t xml:space="preserve">[Organisation]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Beschluss, Prüfauftrag, Veröffentlichung per QR-Code</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bedingt</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Dritte (A13)</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Vertragsklauseln </w:t>
            </w:r>
            <w:r>
              <w:rPr>
                <w:b/>
                <w:bCs/>
                <w:color w:val="1F6F63"/>
                <w:sz w:val="14"/>
                <w:szCs w:val="14"/>
              </w:rPr>
              <w:t xml:space="preserve">[Organisation]</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Verträge mit Agenturen, Influencern, Händlern und Lieferanten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Freigabe­vorbehalt, Mitwirkung bei Beseitigung</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Kommunikation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Schulungs­modul, Hinweis­geber­kategorie </w:t>
            </w:r>
            <w:r>
              <w:rPr>
                <w:b/>
                <w:bCs/>
                <w:color w:val="1F6F63"/>
                <w:sz w:val="14"/>
                <w:szCs w:val="14"/>
              </w:rPr>
              <w:t xml:space="preserve">[Organisation]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Schulungs­plan; Hinweis­geber­system </w:t>
            </w:r>
            <w:r>
              <w:rPr>
                <w:b/>
                <w:bCs/>
                <w:color w:val="1F6F63"/>
                <w:sz w:val="14"/>
                <w:szCs w:val="14"/>
              </w:rPr>
              <w:t xml:space="preserve">[Organisation]</w:t>
            </w:r>
            <w:r>
              <w:rPr>
                <w:b w:val="false"/>
                <w:bCs w:val="false"/>
                <w:sz w:val="16"/>
                <w:szCs w:val="16"/>
              </w:rPr>
              <w:t xml:space="preserve"> (Meldestelle </w:t>
            </w:r>
            <w:r>
              <w:rPr>
                <w:b/>
                <w:bCs/>
                <w:color w:val="B04A16"/>
                <w:sz w:val="14"/>
                <w:szCs w:val="14"/>
              </w:rPr>
              <w:t xml:space="preserve">[Pflicht]</w:t>
            </w:r>
            <w:r>
              <w:rPr>
                <w:b w:val="false"/>
                <w:bCs w:val="false"/>
                <w:sz w:val="16"/>
                <w:szCs w:val="16"/>
              </w:rPr>
              <w:t xml:space="preserve"> ab 50 Beschäftigten)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Zweistündige Schulung; Kurzregel für den Vertrieb</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CMS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Überwachung</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Abmahn-Playbook </w:t>
            </w:r>
            <w:r>
              <w:rPr>
                <w:b/>
                <w:bCs/>
                <w:color w:val="1F6F63"/>
                <w:sz w:val="14"/>
                <w:szCs w:val="14"/>
              </w:rPr>
              <w:t xml:space="preserve">[Organisation]</w:t>
            </w:r>
            <w:r>
              <w:rPr>
                <w:b w:val="false"/>
                <w:bCs w:val="false"/>
                <w:sz w:val="16"/>
                <w:szCs w:val="16"/>
              </w:rPr>
              <w:t xml:space="preserve">; Kennzahlen </w:t>
            </w:r>
            <w:r>
              <w:rPr>
                <w:b/>
                <w:bCs/>
                <w:color w:val="5B4B8A"/>
                <w:sz w:val="14"/>
                <w:szCs w:val="14"/>
              </w:rPr>
              <w:t xml:space="preserve">[Best Practice]</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Compliance-Bericht, Prüfungsplan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Halbjährlicher Review mit Markt­stichprobe</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Prozess „Kommunikation und Produkt­aussagen“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Prozess in der Risiko-Kontroll-Matrix </w:t>
            </w:r>
            <w:r>
              <w:rPr>
                <w:b/>
                <w:bCs/>
                <w:color w:val="1F6F63"/>
                <w:sz w:val="14"/>
                <w:szCs w:val="14"/>
              </w:rPr>
              <w:t xml:space="preserve">[Organisation]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Prozesslandkarte </w:t>
            </w:r>
            <w:r>
              <w:rPr>
                <w:b/>
                <w:bCs/>
                <w:color w:val="1F6F63"/>
                <w:sz w:val="14"/>
                <w:szCs w:val="14"/>
              </w:rPr>
              <w:t xml:space="preserve">[Organisation]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Matrix mit K1–K12</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mittel</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Prävention (A2–A5, A8, A10)</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K1 Gate, K2 Negativliste, K4 Freigabe </w:t>
            </w:r>
            <w:r>
              <w:rPr>
                <w:b/>
                <w:bCs/>
                <w:color w:val="1F6F63"/>
                <w:sz w:val="14"/>
                <w:szCs w:val="14"/>
              </w:rPr>
              <w:t xml:space="preserve">[Organisation]</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Werbe-, Druck- und Verpackungs­freigabe; Kompetenzordnung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Web-CMS veröffentlicht nur mit Claim-ID</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Evidenz (A1, A12)</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K3 Evidenz­prüfung; Dossierstandard </w:t>
            </w:r>
            <w:r>
              <w:rPr>
                <w:b/>
                <w:bCs/>
                <w:color w:val="1F6F63"/>
                <w:sz w:val="14"/>
                <w:szCs w:val="14"/>
              </w:rPr>
              <w:t xml:space="preserve">[Organisation]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Dokumenten­lenkung </w:t>
            </w:r>
            <w:r>
              <w:rPr>
                <w:b/>
                <w:bCs/>
                <w:color w:val="1F6F63"/>
                <w:sz w:val="14"/>
                <w:szCs w:val="14"/>
              </w:rPr>
              <w:t xml:space="preserve">[Organisation]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Prüfvermerk im Dossier</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Gültigkeit</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K7 Trigger und Ablaufwarnung </w:t>
            </w:r>
            <w:r>
              <w:rPr>
                <w:b/>
                <w:bCs/>
                <w:color w:val="1F6F63"/>
                <w:sz w:val="14"/>
                <w:szCs w:val="14"/>
              </w:rPr>
              <w:t xml:space="preserve">[Organisation]</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Änderungs­lenkung, Wareneingang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Pflichtfrage „Claim betroffen?“ im Änderungsantrag</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Vollständigkeit</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K8 Kanal-Scan </w:t>
            </w:r>
            <w:r>
              <w:rPr>
                <w:b/>
                <w:bCs/>
                <w:color w:val="1F6F63"/>
                <w:sz w:val="14"/>
                <w:szCs w:val="14"/>
              </w:rPr>
              <w:t xml:space="preserve">[Organisation]</w:t>
            </w:r>
            <w:r>
              <w:rPr>
                <w:b w:val="false"/>
                <w:bCs w:val="false"/>
                <w:sz w:val="16"/>
                <w:szCs w:val="16"/>
              </w:rPr>
              <w:t xml:space="preserve">, automatisiert </w:t>
            </w:r>
            <w:r>
              <w:rPr>
                <w:b/>
                <w:bCs/>
                <w:color w:val="5B4B8A"/>
                <w:sz w:val="14"/>
                <w:szCs w:val="14"/>
              </w:rPr>
              <w:t xml:space="preserve">[Best Practice]</w:t>
            </w:r>
            <w:r>
              <w:rPr>
                <w:b w:val="false"/>
                <w:bCs w:val="false"/>
                <w:sz w:val="16"/>
                <w:szCs w:val="16"/>
              </w:rPr>
              <w:t xml:space="preserve">; K9 Stichprobe bei Dritten </w:t>
            </w:r>
            <w:r>
              <w:rPr>
                <w:b/>
                <w:bCs/>
                <w:color w:val="1F6F63"/>
                <w:sz w:val="14"/>
                <w:szCs w:val="14"/>
              </w:rPr>
              <w:t xml:space="preserve">[Organisation]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Monitoring­plan </w:t>
            </w:r>
            <w:r>
              <w:rPr>
                <w:b/>
                <w:bCs/>
                <w:color w:val="1F6F63"/>
                <w:sz w:val="14"/>
                <w:szCs w:val="14"/>
              </w:rPr>
              <w:t xml:space="preserve">[Organisation]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Halbjährlicher Scan von Website und Marktplätzen</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hoch</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Pflicht­informationen (A11)</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K10 Pflicht­felder </w:t>
            </w:r>
            <w:r>
              <w:rPr>
                <w:b/>
                <w:bCs/>
                <w:color w:val="1F6F63"/>
                <w:sz w:val="14"/>
                <w:szCs w:val="14"/>
              </w:rPr>
              <w:t xml:space="preserve">[Organisation]</w:t>
            </w:r>
            <w:r>
              <w:rPr>
                <w:b w:val="false"/>
                <w:bCs w:val="false"/>
                <w:sz w:val="16"/>
                <w:szCs w:val="16"/>
              </w:rPr>
              <w:t xml:space="preserve">, dient </w:t>
            </w:r>
            <w:r>
              <w:rPr>
                <w:b/>
                <w:bCs/>
                <w:color w:val="B04A16"/>
                <w:sz w:val="14"/>
                <w:szCs w:val="14"/>
              </w:rPr>
              <w:t xml:space="preserve">[Pflicht]</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Datenmodell in PIM und Shop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Pflichtattribut „Haltbarkeits­garantie“ im PIM</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hoch im Onlinehandel</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Konsistenz</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K11 Abgleich </w:t>
            </w:r>
            <w:r>
              <w:rPr>
                <w:b/>
                <w:bCs/>
                <w:color w:val="5B4B8A"/>
                <w:sz w:val="14"/>
                <w:szCs w:val="14"/>
              </w:rPr>
              <w:t xml:space="preserve">[Best Practice]</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Kontrollen und Prozess der Nachhaltigkeits­berichterstattung </w:t>
            </w:r>
            <w:r>
              <w:rPr>
                <w:b/>
                <w:bCs/>
                <w:color w:val="5B4B8A"/>
                <w:sz w:val="14"/>
                <w:szCs w:val="14"/>
              </w:rPr>
              <w:t xml:space="preserve">[Best Practice]</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Abgleich von Bericht und Website vor Veröffentlichung</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gering</w:t>
            </w:r>
          </w:p>
        </w:tc>
      </w:tr>
      <w:tr>
        <w:trPr>
          <w:cantSplit/>
        </w:trPr>
        <w:tc>
          <w:tcPr>
            <w:tcW w:type="dxa" w:w="1019"/>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tcMar>
              <w:top w:type="dxa" w:w="30"/>
              <w:left w:type="dxa" w:w="90"/>
              <w:bottom w:type="dxa" w:w="30"/>
              <w:right w:type="dxa" w:w="90"/>
            </w:tcMar>
            <w:vAlign w:val="top"/>
          </w:tcPr>
          <w:p>
            <w:pPr>
              <w:spacing w:after="30" w:before="0" w:line="252"/>
            </w:pPr>
            <w:r>
              <w:rPr>
                <w:b w:val="false"/>
                <w:bCs w:val="false"/>
                <w:sz w:val="16"/>
                <w:szCs w:val="16"/>
              </w:rPr>
              <w:t xml:space="preserve">Reaktion</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K12 Beanstandungs­prozess </w:t>
            </w:r>
            <w:r>
              <w:rPr>
                <w:b/>
                <w:bCs/>
                <w:color w:val="1F6F63"/>
                <w:sz w:val="14"/>
                <w:szCs w:val="14"/>
              </w:rPr>
              <w:t xml:space="preserve">[Organisation]</w:t>
            </w:r>
            <w:r>
              <w:rPr>
                <w:b w:val="false"/>
                <w:bCs w:val="false"/>
                <w:sz w:val="16"/>
                <w:szCs w:val="16"/>
              </w:rPr>
              <w:t xml:space="preserve">; 48-Stunden-Test </w:t>
            </w:r>
            <w:r>
              <w:rPr>
                <w:b/>
                <w:bCs/>
                <w:color w:val="5B4B8A"/>
                <w:sz w:val="14"/>
                <w:szCs w:val="14"/>
              </w:rPr>
              <w:t xml:space="preserve">[Best Practice]</w:t>
            </w:r>
          </w:p>
        </w:tc>
        <w:tc>
          <w:tcPr>
            <w:tcW w:type="dxa" w:w="3351"/>
            <w:tcMar>
              <w:top w:type="dxa" w:w="30"/>
              <w:left w:type="dxa" w:w="90"/>
              <w:bottom w:type="dxa" w:w="30"/>
              <w:right w:type="dxa" w:w="90"/>
            </w:tcMar>
            <w:vAlign w:val="top"/>
          </w:tcPr>
          <w:p>
            <w:pPr>
              <w:spacing w:after="30" w:before="0" w:line="252"/>
            </w:pPr>
            <w:r>
              <w:rPr>
                <w:b w:val="false"/>
                <w:bCs w:val="false"/>
                <w:sz w:val="16"/>
                <w:szCs w:val="16"/>
              </w:rPr>
              <w:t xml:space="preserve">Incident-Management </w:t>
            </w:r>
            <w:r>
              <w:rPr>
                <w:b/>
                <w:bCs/>
                <w:color w:val="1F6F63"/>
                <w:sz w:val="14"/>
                <w:szCs w:val="14"/>
              </w:rPr>
              <w:t xml:space="preserve">[Organisation]</w:t>
            </w:r>
          </w:p>
        </w:tc>
        <w:tc>
          <w:tcPr>
            <w:tcW w:type="dxa" w:w="3205"/>
            <w:tcMar>
              <w:top w:type="dxa" w:w="30"/>
              <w:left w:type="dxa" w:w="90"/>
              <w:bottom w:type="dxa" w:w="30"/>
              <w:right w:type="dxa" w:w="90"/>
            </w:tcMar>
            <w:vAlign w:val="top"/>
          </w:tcPr>
          <w:p>
            <w:pPr>
              <w:spacing w:after="30" w:before="0" w:line="252"/>
            </w:pPr>
            <w:r>
              <w:rPr>
                <w:b w:val="false"/>
                <w:bCs w:val="false"/>
                <w:sz w:val="16"/>
                <w:szCs w:val="16"/>
              </w:rPr>
              <w:t xml:space="preserve">Testabruf von drei zufälligen Dossiers pro Halbjahr</w:t>
            </w:r>
          </w:p>
        </w:tc>
        <w:tc>
          <w:tcPr>
            <w:tcW w:type="dxa" w:w="1459"/>
            <w:tcMar>
              <w:top w:type="dxa" w:w="30"/>
              <w:left w:type="dxa" w:w="90"/>
              <w:bottom w:type="dxa" w:w="30"/>
              <w:right w:type="dxa" w:w="90"/>
            </w:tcMar>
            <w:vAlign w:val="top"/>
          </w:tcPr>
          <w:p>
            <w:pPr>
              <w:spacing w:after="30" w:before="0" w:line="252"/>
            </w:pPr>
            <w:r>
              <w:rPr>
                <w:b w:val="false"/>
                <w:bCs w:val="false"/>
                <w:sz w:val="16"/>
                <w:szCs w:val="16"/>
              </w:rPr>
              <w:t xml:space="preserve">mittel</w:t>
            </w:r>
          </w:p>
        </w:tc>
      </w:tr>
      <w:tr>
        <w:trPr>
          <w:cantSplit/>
        </w:trPr>
        <w:tc>
          <w:tcPr>
            <w:tcW w:type="dxa" w:w="1019"/>
            <w:shd w:fill="F3F5F7" w:color="auto" w:val="clear"/>
            <w:tcMar>
              <w:top w:type="dxa" w:w="30"/>
              <w:left w:type="dxa" w:w="90"/>
              <w:bottom w:type="dxa" w:w="30"/>
              <w:right w:type="dxa" w:w="90"/>
            </w:tcMar>
            <w:vAlign w:val="top"/>
          </w:tcPr>
          <w:p>
            <w:pPr>
              <w:spacing w:after="30" w:before="0" w:line="252"/>
            </w:pPr>
            <w:r>
              <w:rPr>
                <w:b/>
                <w:bCs/>
                <w:sz w:val="16"/>
                <w:szCs w:val="16"/>
              </w:rPr>
              <w:t xml:space="preserve">IKS</w:t>
            </w:r>
          </w:p>
        </w:tc>
        <w:tc>
          <w:tcPr>
            <w:tcW w:type="dxa" w:w="218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Wirksamkeit</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Kontroll­tests der Claim-Kontrollen </w:t>
            </w:r>
            <w:r>
              <w:rPr>
                <w:b/>
                <w:bCs/>
                <w:color w:val="1F6F63"/>
                <w:sz w:val="14"/>
                <w:szCs w:val="14"/>
              </w:rPr>
              <w:t xml:space="preserve">[Organisation]</w:t>
            </w:r>
          </w:p>
        </w:tc>
        <w:tc>
          <w:tcPr>
            <w:tcW w:type="dxa" w:w="3351"/>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Kontroll­test­plan </w:t>
            </w:r>
            <w:r>
              <w:rPr>
                <w:b/>
                <w:bCs/>
                <w:color w:val="1F6F63"/>
                <w:sz w:val="14"/>
                <w:szCs w:val="14"/>
              </w:rPr>
              <w:t xml:space="preserve">[Organisation]</w:t>
            </w:r>
          </w:p>
        </w:tc>
        <w:tc>
          <w:tcPr>
            <w:tcW w:type="dxa" w:w="3205"/>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Jährlicher Test von Ausgestaltung und Wirksamkeit</w:t>
            </w:r>
          </w:p>
        </w:tc>
        <w:tc>
          <w:tcPr>
            <w:tcW w:type="dxa" w:w="1459"/>
            <w:shd w:fill="F3F5F7" w:color="auto" w:val="clear"/>
            <w:tcMar>
              <w:top w:type="dxa" w:w="30"/>
              <w:left w:type="dxa" w:w="90"/>
              <w:bottom w:type="dxa" w:w="30"/>
              <w:right w:type="dxa" w:w="90"/>
            </w:tcMar>
            <w:vAlign w:val="top"/>
          </w:tcPr>
          <w:p>
            <w:pPr>
              <w:spacing w:after="30" w:before="0" w:line="252"/>
            </w:pPr>
            <w:r>
              <w:rPr>
                <w:b w:val="false"/>
                <w:bCs w:val="false"/>
                <w:sz w:val="16"/>
                <w:szCs w:val="16"/>
              </w:rPr>
              <w:t xml:space="preserve">mittel</w:t>
            </w:r>
          </w:p>
        </w:tc>
      </w:tr>
    </w:tbl>
    <w:p>
      <w:pPr>
        <w:spacing w:after="120"/>
      </w:pPr>
    </w:p>
    <w:p>
      <w:pPr>
        <w:pStyle w:val="Heading1"/>
        <w:keepNext/>
        <w:pageBreakBefore/>
      </w:pPr>
      <w:r>
        <w:t xml:space="preserve">14 Tabelle 2: Anforderungen und Zuständigkeiten</w:t>
      </w:r>
    </w:p>
    <w:p>
      <w:pPr>
        <w:spacing w:after="120" w:before="0" w:line="276"/>
      </w:pPr>
      <w:r>
        <w:t xml:space="preserve">Die Tabelle ordnet jede rechtliche Anforderung den drei Systemen zu. Primär zuständig ist der Bereich, der die Einhaltung im Tagesgeschäft verantwortet (erste Linie). Die Systeme liefern Regeln, Bewertung und Kontrolle.</w:t>
      </w:r>
    </w:p>
    <w:tbl>
      <w:tblPr>
        <w:tblW w:type="dxa" w:w="14570"/>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3351"/>
        <w:gridCol w:w="2622"/>
        <w:gridCol w:w="3059"/>
        <w:gridCol w:w="2914"/>
        <w:gridCol w:w="2624"/>
      </w:tblGrid>
      <w:tr>
        <w:trPr>
          <w:cantSplit/>
          <w:tblHeader/>
        </w:trPr>
        <w:tc>
          <w:tcPr>
            <w:tcW w:type="dxa" w:w="3351"/>
            <w:shd w:fill="13233A" w:color="auto" w:val="clear"/>
            <w:tcMar>
              <w:top w:type="dxa" w:w="25"/>
              <w:left w:type="dxa" w:w="90"/>
              <w:bottom w:type="dxa" w:w="25"/>
              <w:right w:type="dxa" w:w="90"/>
            </w:tcMar>
            <w:vAlign w:val="top"/>
          </w:tcPr>
          <w:p>
            <w:pPr>
              <w:spacing w:after="30" w:before="0" w:line="252"/>
            </w:pPr>
            <w:r>
              <w:rPr>
                <w:b/>
                <w:bCs/>
                <w:color w:val="FFFFFF"/>
                <w:sz w:val="16"/>
                <w:szCs w:val="16"/>
              </w:rPr>
              <w:t xml:space="preserve">EmpCo-Anforderung</w:t>
            </w:r>
          </w:p>
        </w:tc>
        <w:tc>
          <w:tcPr>
            <w:tcW w:type="dxa" w:w="2622"/>
            <w:shd w:fill="13233A" w:color="auto" w:val="clear"/>
            <w:tcMar>
              <w:top w:type="dxa" w:w="25"/>
              <w:left w:type="dxa" w:w="90"/>
              <w:bottom w:type="dxa" w:w="25"/>
              <w:right w:type="dxa" w:w="90"/>
            </w:tcMar>
            <w:vAlign w:val="top"/>
          </w:tcPr>
          <w:p>
            <w:pPr>
              <w:spacing w:after="30" w:before="0" w:line="252"/>
            </w:pPr>
            <w:r>
              <w:rPr>
                <w:b/>
                <w:bCs/>
                <w:color w:val="FFFFFF"/>
                <w:sz w:val="16"/>
                <w:szCs w:val="16"/>
              </w:rPr>
              <w:t xml:space="preserve">RMS</w:t>
            </w:r>
          </w:p>
        </w:tc>
        <w:tc>
          <w:tcPr>
            <w:tcW w:type="dxa" w:w="3059"/>
            <w:shd w:fill="13233A" w:color="auto" w:val="clear"/>
            <w:tcMar>
              <w:top w:type="dxa" w:w="25"/>
              <w:left w:type="dxa" w:w="90"/>
              <w:bottom w:type="dxa" w:w="25"/>
              <w:right w:type="dxa" w:w="90"/>
            </w:tcMar>
            <w:vAlign w:val="top"/>
          </w:tcPr>
          <w:p>
            <w:pPr>
              <w:spacing w:after="30" w:before="0" w:line="252"/>
            </w:pPr>
            <w:r>
              <w:rPr>
                <w:b/>
                <w:bCs/>
                <w:color w:val="FFFFFF"/>
                <w:sz w:val="16"/>
                <w:szCs w:val="16"/>
              </w:rPr>
              <w:t xml:space="preserve">CMS</w:t>
            </w:r>
          </w:p>
        </w:tc>
        <w:tc>
          <w:tcPr>
            <w:tcW w:type="dxa" w:w="2914"/>
            <w:shd w:fill="13233A" w:color="auto" w:val="clear"/>
            <w:tcMar>
              <w:top w:type="dxa" w:w="25"/>
              <w:left w:type="dxa" w:w="90"/>
              <w:bottom w:type="dxa" w:w="25"/>
              <w:right w:type="dxa" w:w="90"/>
            </w:tcMar>
            <w:vAlign w:val="top"/>
          </w:tcPr>
          <w:p>
            <w:pPr>
              <w:spacing w:after="30" w:before="0" w:line="252"/>
            </w:pPr>
            <w:r>
              <w:rPr>
                <w:b/>
                <w:bCs/>
                <w:color w:val="FFFFFF"/>
                <w:sz w:val="16"/>
                <w:szCs w:val="16"/>
              </w:rPr>
              <w:t xml:space="preserve">IKS</w:t>
            </w:r>
          </w:p>
        </w:tc>
        <w:tc>
          <w:tcPr>
            <w:tcW w:type="dxa" w:w="2624"/>
            <w:shd w:fill="13233A" w:color="auto" w:val="clear"/>
            <w:tcMar>
              <w:top w:type="dxa" w:w="25"/>
              <w:left w:type="dxa" w:w="90"/>
              <w:bottom w:type="dxa" w:w="25"/>
              <w:right w:type="dxa" w:w="90"/>
            </w:tcMar>
            <w:vAlign w:val="top"/>
          </w:tcPr>
          <w:p>
            <w:pPr>
              <w:spacing w:after="30" w:before="0" w:line="252"/>
            </w:pPr>
            <w:r>
              <w:rPr>
                <w:b/>
                <w:bCs/>
                <w:color w:val="FFFFFF"/>
                <w:sz w:val="16"/>
                <w:szCs w:val="16"/>
              </w:rPr>
              <w:t xml:space="preserve">Primär zuständiger Bereich</w:t>
            </w:r>
          </w:p>
        </w:tc>
      </w:tr>
      <w:tr>
        <w:trPr>
          <w:cantSplit/>
        </w:trPr>
        <w:tc>
          <w:tcPr>
            <w:tcW w:type="dxa" w:w="3351"/>
            <w:tcMar>
              <w:top w:type="dxa" w:w="25"/>
              <w:left w:type="dxa" w:w="90"/>
              <w:bottom w:type="dxa" w:w="25"/>
              <w:right w:type="dxa" w:w="90"/>
            </w:tcMar>
            <w:vAlign w:val="top"/>
          </w:tcPr>
          <w:p>
            <w:pPr>
              <w:spacing w:after="30" w:before="0" w:line="252"/>
            </w:pPr>
            <w:r>
              <w:rPr>
                <w:b/>
                <w:bCs/>
                <w:sz w:val="16"/>
                <w:szCs w:val="16"/>
              </w:rPr>
              <w:t xml:space="preserve">A1 Irreführung über ökologische und soziale Merkmale sowie Zirkularität (§ 5 Abs. 2 Nr. 1 UWG; auch B2B)</w:t>
            </w:r>
          </w:p>
        </w:tc>
        <w:tc>
          <w:tcPr>
            <w:tcW w:type="dxa" w:w="2622"/>
            <w:tcMar>
              <w:top w:type="dxa" w:w="25"/>
              <w:left w:type="dxa" w:w="90"/>
              <w:bottom w:type="dxa" w:w="25"/>
              <w:right w:type="dxa" w:w="90"/>
            </w:tcMar>
            <w:vAlign w:val="top"/>
          </w:tcPr>
          <w:p>
            <w:pPr>
              <w:spacing w:after="30" w:before="0" w:line="252"/>
            </w:pPr>
            <w:r>
              <w:rPr>
                <w:b w:val="false"/>
                <w:bCs w:val="false"/>
                <w:sz w:val="16"/>
                <w:szCs w:val="16"/>
              </w:rPr>
              <w:t xml:space="preserve">Rechtsrisiko je nach Claim-Volumen, auch in B2B-Kanälen</w:t>
            </w:r>
          </w:p>
        </w:tc>
        <w:tc>
          <w:tcPr>
            <w:tcW w:type="dxa" w:w="3059"/>
            <w:tcMar>
              <w:top w:type="dxa" w:w="25"/>
              <w:left w:type="dxa" w:w="90"/>
              <w:bottom w:type="dxa" w:w="25"/>
              <w:right w:type="dxa" w:w="90"/>
            </w:tcMar>
            <w:vAlign w:val="top"/>
          </w:tcPr>
          <w:p>
            <w:pPr>
              <w:spacing w:after="30" w:before="0" w:line="252"/>
            </w:pPr>
            <w:r>
              <w:rPr>
                <w:b w:val="false"/>
                <w:bCs w:val="false"/>
                <w:sz w:val="16"/>
                <w:szCs w:val="16"/>
              </w:rPr>
              <w:t xml:space="preserve">Pflicht im Register; Evidenzstandard je Claim-Typ</w:t>
            </w:r>
          </w:p>
        </w:tc>
        <w:tc>
          <w:tcPr>
            <w:tcW w:type="dxa" w:w="2914"/>
            <w:tcMar>
              <w:top w:type="dxa" w:w="25"/>
              <w:left w:type="dxa" w:w="90"/>
              <w:bottom w:type="dxa" w:w="25"/>
              <w:right w:type="dxa" w:w="90"/>
            </w:tcMar>
            <w:vAlign w:val="top"/>
          </w:tcPr>
          <w:p>
            <w:pPr>
              <w:spacing w:after="30" w:before="0" w:line="252"/>
            </w:pPr>
            <w:r>
              <w:rPr>
                <w:b w:val="false"/>
                <w:bCs w:val="false"/>
                <w:sz w:val="16"/>
                <w:szCs w:val="16"/>
              </w:rPr>
              <w:t xml:space="preserve">K3 Evidenz­prüfung; K4 Freigabe</w:t>
            </w:r>
          </w:p>
        </w:tc>
        <w:tc>
          <w:tcPr>
            <w:tcW w:type="dxa" w:w="2624"/>
            <w:tcMar>
              <w:top w:type="dxa" w:w="25"/>
              <w:left w:type="dxa" w:w="90"/>
              <w:bottom w:type="dxa" w:w="25"/>
              <w:right w:type="dxa" w:w="90"/>
            </w:tcMar>
            <w:vAlign w:val="top"/>
          </w:tcPr>
          <w:p>
            <w:pPr>
              <w:spacing w:after="30" w:before="0" w:line="252"/>
            </w:pPr>
            <w:r>
              <w:rPr>
                <w:b w:val="false"/>
                <w:bCs w:val="false"/>
                <w:sz w:val="16"/>
                <w:szCs w:val="16"/>
              </w:rPr>
              <w:t xml:space="preserve">Marketing mit fachlichem Claim-Owner (Produkt, Sustainability)</w:t>
            </w:r>
          </w:p>
        </w:tc>
      </w:tr>
      <w:tr>
        <w:trPr>
          <w:cantSplit/>
        </w:trPr>
        <w:tc>
          <w:tcPr>
            <w:tcW w:type="dxa" w:w="3351"/>
            <w:shd w:fill="F3F5F7" w:color="auto" w:val="clear"/>
            <w:tcMar>
              <w:top w:type="dxa" w:w="25"/>
              <w:left w:type="dxa" w:w="90"/>
              <w:bottom w:type="dxa" w:w="25"/>
              <w:right w:type="dxa" w:w="90"/>
            </w:tcMar>
            <w:vAlign w:val="top"/>
          </w:tcPr>
          <w:p>
            <w:pPr>
              <w:spacing w:after="30" w:before="0" w:line="252"/>
            </w:pPr>
            <w:r>
              <w:rPr>
                <w:b/>
                <w:bCs/>
                <w:sz w:val="16"/>
                <w:szCs w:val="16"/>
              </w:rPr>
              <w:t xml:space="preserve">A2 Allgemeine Umwelt­aussagen (Anhang Nr. 4a)</w:t>
            </w:r>
          </w:p>
        </w:tc>
        <w:tc>
          <w:tcPr>
            <w:tcW w:type="dxa" w:w="2622"/>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Hohe Eintrittswahrscheinlichkeit: Per-se-Verbot, leicht auffindbar</w:t>
            </w:r>
          </w:p>
        </w:tc>
        <w:tc>
          <w:tcPr>
            <w:tcW w:type="dxa" w:w="3059"/>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Negativliste; Regel „spezifizieren oder streichen“</w:t>
            </w:r>
          </w:p>
        </w:tc>
        <w:tc>
          <w:tcPr>
            <w:tcW w:type="dxa" w:w="291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K2 Negativliste; K1 Gate; K8 Scan</w:t>
            </w:r>
          </w:p>
        </w:tc>
        <w:tc>
          <w:tcPr>
            <w:tcW w:type="dxa" w:w="262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Marketing, Kommunikation</w:t>
            </w:r>
          </w:p>
        </w:tc>
      </w:tr>
      <w:tr>
        <w:trPr>
          <w:cantSplit/>
        </w:trPr>
        <w:tc>
          <w:tcPr>
            <w:tcW w:type="dxa" w:w="3351"/>
            <w:tcMar>
              <w:top w:type="dxa" w:w="25"/>
              <w:left w:type="dxa" w:w="90"/>
              <w:bottom w:type="dxa" w:w="25"/>
              <w:right w:type="dxa" w:w="90"/>
            </w:tcMar>
            <w:vAlign w:val="top"/>
          </w:tcPr>
          <w:p>
            <w:pPr>
              <w:spacing w:after="30" w:before="0" w:line="252"/>
            </w:pPr>
            <w:r>
              <w:rPr>
                <w:b/>
                <w:bCs/>
                <w:sz w:val="16"/>
                <w:szCs w:val="16"/>
              </w:rPr>
              <w:t xml:space="preserve">A3 Nachhaltigkeitssiegel (Anhang Nr. 2a)</w:t>
            </w:r>
          </w:p>
        </w:tc>
        <w:tc>
          <w:tcPr>
            <w:tcW w:type="dxa" w:w="2622"/>
            <w:tcMar>
              <w:top w:type="dxa" w:w="25"/>
              <w:left w:type="dxa" w:w="90"/>
              <w:bottom w:type="dxa" w:w="25"/>
              <w:right w:type="dxa" w:w="90"/>
            </w:tcMar>
            <w:vAlign w:val="top"/>
          </w:tcPr>
          <w:p>
            <w:pPr>
              <w:spacing w:after="30" w:before="0" w:line="252"/>
            </w:pPr>
            <w:r>
              <w:rPr>
                <w:b w:val="false"/>
                <w:bCs w:val="false"/>
                <w:sz w:val="16"/>
                <w:szCs w:val="16"/>
              </w:rPr>
              <w:t xml:space="preserve">Strategisches Risiko bei Eigenlabels</w:t>
            </w:r>
          </w:p>
        </w:tc>
        <w:tc>
          <w:tcPr>
            <w:tcW w:type="dxa" w:w="3059"/>
            <w:tcMar>
              <w:top w:type="dxa" w:w="25"/>
              <w:left w:type="dxa" w:w="90"/>
              <w:bottom w:type="dxa" w:w="25"/>
              <w:right w:type="dxa" w:w="90"/>
            </w:tcMar>
            <w:vAlign w:val="top"/>
          </w:tcPr>
          <w:p>
            <w:pPr>
              <w:spacing w:after="30" w:before="0" w:line="252"/>
            </w:pPr>
            <w:r>
              <w:rPr>
                <w:b w:val="false"/>
                <w:bCs w:val="false"/>
                <w:sz w:val="16"/>
                <w:szCs w:val="16"/>
              </w:rPr>
              <w:t xml:space="preserve">Label-Register; Prüfung der Systemkriterien</w:t>
            </w:r>
          </w:p>
        </w:tc>
        <w:tc>
          <w:tcPr>
            <w:tcW w:type="dxa" w:w="2914"/>
            <w:tcMar>
              <w:top w:type="dxa" w:w="25"/>
              <w:left w:type="dxa" w:w="90"/>
              <w:bottom w:type="dxa" w:w="25"/>
              <w:right w:type="dxa" w:w="90"/>
            </w:tcMar>
            <w:vAlign w:val="top"/>
          </w:tcPr>
          <w:p>
            <w:pPr>
              <w:spacing w:after="30" w:before="0" w:line="252"/>
            </w:pPr>
            <w:r>
              <w:rPr>
                <w:b w:val="false"/>
                <w:bCs w:val="false"/>
                <w:sz w:val="16"/>
                <w:szCs w:val="16"/>
              </w:rPr>
              <w:t xml:space="preserve">K5 Siegel­prüfung</w:t>
            </w:r>
          </w:p>
        </w:tc>
        <w:tc>
          <w:tcPr>
            <w:tcW w:type="dxa" w:w="2624"/>
            <w:tcMar>
              <w:top w:type="dxa" w:w="25"/>
              <w:left w:type="dxa" w:w="90"/>
              <w:bottom w:type="dxa" w:w="25"/>
              <w:right w:type="dxa" w:w="90"/>
            </w:tcMar>
            <w:vAlign w:val="top"/>
          </w:tcPr>
          <w:p>
            <w:pPr>
              <w:spacing w:after="30" w:before="0" w:line="252"/>
            </w:pPr>
            <w:r>
              <w:rPr>
                <w:b w:val="false"/>
                <w:bCs w:val="false"/>
                <w:sz w:val="16"/>
                <w:szCs w:val="16"/>
              </w:rPr>
              <w:t xml:space="preserve">Produkt­management, QM</w:t>
            </w:r>
          </w:p>
        </w:tc>
      </w:tr>
      <w:tr>
        <w:trPr>
          <w:cantSplit/>
        </w:trPr>
        <w:tc>
          <w:tcPr>
            <w:tcW w:type="dxa" w:w="3351"/>
            <w:shd w:fill="F3F5F7" w:color="auto" w:val="clear"/>
            <w:tcMar>
              <w:top w:type="dxa" w:w="25"/>
              <w:left w:type="dxa" w:w="90"/>
              <w:bottom w:type="dxa" w:w="25"/>
              <w:right w:type="dxa" w:w="90"/>
            </w:tcMar>
            <w:vAlign w:val="top"/>
          </w:tcPr>
          <w:p>
            <w:pPr>
              <w:spacing w:after="30" w:before="0" w:line="252"/>
            </w:pPr>
            <w:r>
              <w:rPr>
                <w:b/>
                <w:bCs/>
                <w:sz w:val="16"/>
                <w:szCs w:val="16"/>
              </w:rPr>
              <w:t xml:space="preserve">A4 Teil als Ganzes (Anhang Nr. 4b)</w:t>
            </w:r>
          </w:p>
        </w:tc>
        <w:tc>
          <w:tcPr>
            <w:tcW w:type="dxa" w:w="2622"/>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Teil des Claim-Risikos</w:t>
            </w:r>
          </w:p>
        </w:tc>
        <w:tc>
          <w:tcPr>
            <w:tcW w:type="dxa" w:w="3059"/>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Regel zur Angabe des Geltungsbereichs</w:t>
            </w:r>
          </w:p>
        </w:tc>
        <w:tc>
          <w:tcPr>
            <w:tcW w:type="dxa" w:w="291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K3 Scope-Kongruenz</w:t>
            </w:r>
          </w:p>
        </w:tc>
        <w:tc>
          <w:tcPr>
            <w:tcW w:type="dxa" w:w="262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Marketing mit fachlichem Owner</w:t>
            </w:r>
          </w:p>
        </w:tc>
      </w:tr>
      <w:tr>
        <w:trPr>
          <w:cantSplit/>
        </w:trPr>
        <w:tc>
          <w:tcPr>
            <w:tcW w:type="dxa" w:w="3351"/>
            <w:tcMar>
              <w:top w:type="dxa" w:w="25"/>
              <w:left w:type="dxa" w:w="90"/>
              <w:bottom w:type="dxa" w:w="25"/>
              <w:right w:type="dxa" w:w="90"/>
            </w:tcMar>
            <w:vAlign w:val="top"/>
          </w:tcPr>
          <w:p>
            <w:pPr>
              <w:spacing w:after="30" w:before="0" w:line="252"/>
            </w:pPr>
            <w:r>
              <w:rPr>
                <w:b/>
                <w:bCs/>
                <w:sz w:val="16"/>
                <w:szCs w:val="16"/>
              </w:rPr>
              <w:t xml:space="preserve">A5 Kompensationsbasierte Neutralität (Anhang Nr. 4c)</w:t>
            </w:r>
          </w:p>
        </w:tc>
        <w:tc>
          <w:tcPr>
            <w:tcW w:type="dxa" w:w="2622"/>
            <w:tcMar>
              <w:top w:type="dxa" w:w="25"/>
              <w:left w:type="dxa" w:w="90"/>
              <w:bottom w:type="dxa" w:w="25"/>
              <w:right w:type="dxa" w:w="90"/>
            </w:tcMar>
            <w:vAlign w:val="top"/>
          </w:tcPr>
          <w:p>
            <w:pPr>
              <w:spacing w:after="30" w:before="0" w:line="252"/>
            </w:pPr>
            <w:r>
              <w:rPr>
                <w:b w:val="false"/>
                <w:bCs w:val="false"/>
                <w:sz w:val="16"/>
                <w:szCs w:val="16"/>
              </w:rPr>
              <w:t xml:space="preserve">Hohes Rechts- und Reputations­risiko; Risiko­appetit null</w:t>
            </w:r>
          </w:p>
        </w:tc>
        <w:tc>
          <w:tcPr>
            <w:tcW w:type="dxa" w:w="3059"/>
            <w:tcMar>
              <w:top w:type="dxa" w:w="25"/>
              <w:left w:type="dxa" w:w="90"/>
              <w:bottom w:type="dxa" w:w="25"/>
              <w:right w:type="dxa" w:w="90"/>
            </w:tcMar>
            <w:vAlign w:val="top"/>
          </w:tcPr>
          <w:p>
            <w:pPr>
              <w:spacing w:after="30" w:before="0" w:line="252"/>
            </w:pPr>
            <w:r>
              <w:rPr>
                <w:b w:val="false"/>
                <w:bCs w:val="false"/>
                <w:sz w:val="16"/>
                <w:szCs w:val="16"/>
              </w:rPr>
              <w:t xml:space="preserve">Verbot in der Negativliste; Klima-Claims als Hochrisiko</w:t>
            </w:r>
          </w:p>
        </w:tc>
        <w:tc>
          <w:tcPr>
            <w:tcW w:type="dxa" w:w="2914"/>
            <w:tcMar>
              <w:top w:type="dxa" w:w="25"/>
              <w:left w:type="dxa" w:w="90"/>
              <w:bottom w:type="dxa" w:w="25"/>
              <w:right w:type="dxa" w:w="90"/>
            </w:tcMar>
            <w:vAlign w:val="top"/>
          </w:tcPr>
          <w:p>
            <w:pPr>
              <w:spacing w:after="30" w:before="0" w:line="252"/>
            </w:pPr>
            <w:r>
              <w:rPr>
                <w:b w:val="false"/>
                <w:bCs w:val="false"/>
                <w:sz w:val="16"/>
                <w:szCs w:val="16"/>
              </w:rPr>
              <w:t xml:space="preserve">K2; K4 mit Freigabe durch die Geschäfts­leitung</w:t>
            </w:r>
          </w:p>
        </w:tc>
        <w:tc>
          <w:tcPr>
            <w:tcW w:type="dxa" w:w="2624"/>
            <w:tcMar>
              <w:top w:type="dxa" w:w="25"/>
              <w:left w:type="dxa" w:w="90"/>
              <w:bottom w:type="dxa" w:w="25"/>
              <w:right w:type="dxa" w:w="90"/>
            </w:tcMar>
            <w:vAlign w:val="top"/>
          </w:tcPr>
          <w:p>
            <w:pPr>
              <w:spacing w:after="30" w:before="0" w:line="252"/>
            </w:pPr>
            <w:r>
              <w:rPr>
                <w:b w:val="false"/>
                <w:bCs w:val="false"/>
                <w:sz w:val="16"/>
                <w:szCs w:val="16"/>
              </w:rPr>
              <w:t xml:space="preserve">Geschäfts­leitung, Sustainability</w:t>
            </w:r>
          </w:p>
        </w:tc>
      </w:tr>
      <w:tr>
        <w:trPr>
          <w:cantSplit/>
        </w:trPr>
        <w:tc>
          <w:tcPr>
            <w:tcW w:type="dxa" w:w="3351"/>
            <w:shd w:fill="F3F5F7" w:color="auto" w:val="clear"/>
            <w:tcMar>
              <w:top w:type="dxa" w:w="25"/>
              <w:left w:type="dxa" w:w="90"/>
              <w:bottom w:type="dxa" w:w="25"/>
              <w:right w:type="dxa" w:w="90"/>
            </w:tcMar>
            <w:vAlign w:val="top"/>
          </w:tcPr>
          <w:p>
            <w:pPr>
              <w:spacing w:after="30" w:before="0" w:line="252"/>
            </w:pPr>
            <w:r>
              <w:rPr>
                <w:b/>
                <w:bCs/>
                <w:sz w:val="16"/>
                <w:szCs w:val="16"/>
              </w:rPr>
              <w:t xml:space="preserve">A6 Zukunfts­aussagen (Art. 6 Abs. 2 lit. d UGP-RL; § 5 Abs. 3 Nr. 4 UWG)</w:t>
            </w:r>
          </w:p>
        </w:tc>
        <w:tc>
          <w:tcPr>
            <w:tcW w:type="dxa" w:w="2622"/>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Strategisches Risiko; Kosten der externen Prüfung</w:t>
            </w:r>
          </w:p>
        </w:tc>
        <w:tc>
          <w:tcPr>
            <w:tcW w:type="dxa" w:w="3059"/>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Sonder­prozess; Beschluss; Veröffentlichung</w:t>
            </w:r>
          </w:p>
        </w:tc>
        <w:tc>
          <w:tcPr>
            <w:tcW w:type="dxa" w:w="291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K6</w:t>
            </w:r>
          </w:p>
        </w:tc>
        <w:tc>
          <w:tcPr>
            <w:tcW w:type="dxa" w:w="262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Geschäfts­leitung mit Sustainability</w:t>
            </w:r>
          </w:p>
        </w:tc>
      </w:tr>
      <w:tr>
        <w:trPr>
          <w:cantSplit/>
        </w:trPr>
        <w:tc>
          <w:tcPr>
            <w:tcW w:type="dxa" w:w="3351"/>
            <w:tcMar>
              <w:top w:type="dxa" w:w="25"/>
              <w:left w:type="dxa" w:w="90"/>
              <w:bottom w:type="dxa" w:w="25"/>
              <w:right w:type="dxa" w:w="90"/>
            </w:tcMar>
            <w:vAlign w:val="top"/>
          </w:tcPr>
          <w:p>
            <w:pPr>
              <w:spacing w:after="30" w:before="0" w:line="252"/>
            </w:pPr>
            <w:r>
              <w:rPr>
                <w:b/>
                <w:bCs/>
                <w:sz w:val="16"/>
                <w:szCs w:val="16"/>
              </w:rPr>
              <w:t xml:space="preserve">A7 Irrelevante Vorteile (§ 5 Abs. 3 Nr. 3 UWG)</w:t>
            </w:r>
          </w:p>
        </w:tc>
        <w:tc>
          <w:tcPr>
            <w:tcW w:type="dxa" w:w="2622"/>
            <w:tcMar>
              <w:top w:type="dxa" w:w="25"/>
              <w:left w:type="dxa" w:w="90"/>
              <w:bottom w:type="dxa" w:w="25"/>
              <w:right w:type="dxa" w:w="90"/>
            </w:tcMar>
            <w:vAlign w:val="top"/>
          </w:tcPr>
          <w:p>
            <w:pPr>
              <w:spacing w:after="30" w:before="0" w:line="252"/>
            </w:pPr>
            <w:r>
              <w:rPr>
                <w:b w:val="false"/>
                <w:bCs w:val="false"/>
                <w:sz w:val="16"/>
                <w:szCs w:val="16"/>
              </w:rPr>
              <w:t xml:space="preserve">gering</w:t>
            </w:r>
          </w:p>
        </w:tc>
        <w:tc>
          <w:tcPr>
            <w:tcW w:type="dxa" w:w="3059"/>
            <w:tcMar>
              <w:top w:type="dxa" w:w="25"/>
              <w:left w:type="dxa" w:w="90"/>
              <w:bottom w:type="dxa" w:w="25"/>
              <w:right w:type="dxa" w:w="90"/>
            </w:tcMar>
            <w:vAlign w:val="top"/>
          </w:tcPr>
          <w:p>
            <w:pPr>
              <w:spacing w:after="30" w:before="0" w:line="252"/>
            </w:pPr>
            <w:r>
              <w:rPr>
                <w:b w:val="false"/>
                <w:bCs w:val="false"/>
                <w:sz w:val="16"/>
                <w:szCs w:val="16"/>
              </w:rPr>
              <w:t xml:space="preserve">Regel in der Claims-Richtlinie</w:t>
            </w:r>
          </w:p>
        </w:tc>
        <w:tc>
          <w:tcPr>
            <w:tcW w:type="dxa" w:w="2914"/>
            <w:tcMar>
              <w:top w:type="dxa" w:w="25"/>
              <w:left w:type="dxa" w:w="90"/>
              <w:bottom w:type="dxa" w:w="25"/>
              <w:right w:type="dxa" w:w="90"/>
            </w:tcMar>
            <w:vAlign w:val="top"/>
          </w:tcPr>
          <w:p>
            <w:pPr>
              <w:spacing w:after="30" w:before="0" w:line="252"/>
            </w:pPr>
            <w:r>
              <w:rPr>
                <w:b w:val="false"/>
                <w:bCs w:val="false"/>
                <w:sz w:val="16"/>
                <w:szCs w:val="16"/>
              </w:rPr>
              <w:t xml:space="preserve">K2, K4 im Wording-Review</w:t>
            </w:r>
          </w:p>
        </w:tc>
        <w:tc>
          <w:tcPr>
            <w:tcW w:type="dxa" w:w="2624"/>
            <w:tcMar>
              <w:top w:type="dxa" w:w="25"/>
              <w:left w:type="dxa" w:w="90"/>
              <w:bottom w:type="dxa" w:w="25"/>
              <w:right w:type="dxa" w:w="90"/>
            </w:tcMar>
            <w:vAlign w:val="top"/>
          </w:tcPr>
          <w:p>
            <w:pPr>
              <w:spacing w:after="30" w:before="0" w:line="252"/>
            </w:pPr>
            <w:r>
              <w:rPr>
                <w:b w:val="false"/>
                <w:bCs w:val="false"/>
                <w:sz w:val="16"/>
                <w:szCs w:val="16"/>
              </w:rPr>
              <w:t xml:space="preserve">Marketing</w:t>
            </w:r>
          </w:p>
        </w:tc>
      </w:tr>
      <w:tr>
        <w:trPr>
          <w:cantSplit/>
        </w:trPr>
        <w:tc>
          <w:tcPr>
            <w:tcW w:type="dxa" w:w="3351"/>
            <w:shd w:fill="F3F5F7" w:color="auto" w:val="clear"/>
            <w:tcMar>
              <w:top w:type="dxa" w:w="25"/>
              <w:left w:type="dxa" w:w="90"/>
              <w:bottom w:type="dxa" w:w="25"/>
              <w:right w:type="dxa" w:w="90"/>
            </w:tcMar>
            <w:vAlign w:val="top"/>
          </w:tcPr>
          <w:p>
            <w:pPr>
              <w:spacing w:after="30" w:before="0" w:line="252"/>
            </w:pPr>
            <w:r>
              <w:rPr>
                <w:b/>
                <w:bCs/>
                <w:sz w:val="16"/>
                <w:szCs w:val="16"/>
              </w:rPr>
              <w:t xml:space="preserve">A8 Gesetzliche Pflichten als Besonderheit (Anhang Nr. 10a)</w:t>
            </w:r>
          </w:p>
        </w:tc>
        <w:tc>
          <w:tcPr>
            <w:tcW w:type="dxa" w:w="2622"/>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gering bis mittel</w:t>
            </w:r>
          </w:p>
        </w:tc>
        <w:tc>
          <w:tcPr>
            <w:tcW w:type="dxa" w:w="3059"/>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Abgleich mit dem Produktrecht</w:t>
            </w:r>
          </w:p>
        </w:tc>
        <w:tc>
          <w:tcPr>
            <w:tcW w:type="dxa" w:w="291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K2 mit Pflichten­abgleich</w:t>
            </w:r>
          </w:p>
        </w:tc>
        <w:tc>
          <w:tcPr>
            <w:tcW w:type="dxa" w:w="262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Produkt-Compliance, Regulatory</w:t>
            </w:r>
          </w:p>
        </w:tc>
      </w:tr>
      <w:tr>
        <w:trPr>
          <w:cantSplit/>
        </w:trPr>
        <w:tc>
          <w:tcPr>
            <w:tcW w:type="dxa" w:w="3351"/>
            <w:tcMar>
              <w:top w:type="dxa" w:w="25"/>
              <w:left w:type="dxa" w:w="90"/>
              <w:bottom w:type="dxa" w:w="25"/>
              <w:right w:type="dxa" w:w="90"/>
            </w:tcMar>
            <w:vAlign w:val="top"/>
          </w:tcPr>
          <w:p>
            <w:pPr>
              <w:spacing w:after="30" w:before="0" w:line="252"/>
            </w:pPr>
            <w:r>
              <w:rPr>
                <w:b/>
                <w:bCs/>
                <w:sz w:val="16"/>
                <w:szCs w:val="16"/>
              </w:rPr>
              <w:t xml:space="preserve">A9 Vergleiche (Art. 7 Abs. 7 UGP-RL; § 5b Abs. 3a, § 6 UWG)</w:t>
            </w:r>
          </w:p>
        </w:tc>
        <w:tc>
          <w:tcPr>
            <w:tcW w:type="dxa" w:w="2622"/>
            <w:tcMar>
              <w:top w:type="dxa" w:w="25"/>
              <w:left w:type="dxa" w:w="90"/>
              <w:bottom w:type="dxa" w:w="25"/>
              <w:right w:type="dxa" w:w="90"/>
            </w:tcMar>
            <w:vAlign w:val="top"/>
          </w:tcPr>
          <w:p>
            <w:pPr>
              <w:spacing w:after="30" w:before="0" w:line="252"/>
            </w:pPr>
            <w:r>
              <w:rPr>
                <w:b w:val="false"/>
                <w:bCs w:val="false"/>
                <w:sz w:val="16"/>
                <w:szCs w:val="16"/>
              </w:rPr>
              <w:t xml:space="preserve">mittel (Klagen von Mitbewerbern)</w:t>
            </w:r>
          </w:p>
        </w:tc>
        <w:tc>
          <w:tcPr>
            <w:tcW w:type="dxa" w:w="3059"/>
            <w:tcMar>
              <w:top w:type="dxa" w:w="25"/>
              <w:left w:type="dxa" w:w="90"/>
              <w:bottom w:type="dxa" w:w="25"/>
              <w:right w:type="dxa" w:w="90"/>
            </w:tcMar>
            <w:vAlign w:val="top"/>
          </w:tcPr>
          <w:p>
            <w:pPr>
              <w:spacing w:after="30" w:before="0" w:line="252"/>
            </w:pPr>
            <w:r>
              <w:rPr>
                <w:b w:val="false"/>
                <w:bCs w:val="false"/>
                <w:sz w:val="16"/>
                <w:szCs w:val="16"/>
              </w:rPr>
              <w:t xml:space="preserve">Regel zu Methode und Vergleichsbasis</w:t>
            </w:r>
          </w:p>
        </w:tc>
        <w:tc>
          <w:tcPr>
            <w:tcW w:type="dxa" w:w="2914"/>
            <w:tcMar>
              <w:top w:type="dxa" w:w="25"/>
              <w:left w:type="dxa" w:w="90"/>
              <w:bottom w:type="dxa" w:w="25"/>
              <w:right w:type="dxa" w:w="90"/>
            </w:tcMar>
            <w:vAlign w:val="top"/>
          </w:tcPr>
          <w:p>
            <w:pPr>
              <w:spacing w:after="30" w:before="0" w:line="252"/>
            </w:pPr>
            <w:r>
              <w:rPr>
                <w:b w:val="false"/>
                <w:bCs w:val="false"/>
                <w:sz w:val="16"/>
                <w:szCs w:val="16"/>
              </w:rPr>
              <w:t xml:space="preserve">K3 mit Methodengleichheit</w:t>
            </w:r>
          </w:p>
        </w:tc>
        <w:tc>
          <w:tcPr>
            <w:tcW w:type="dxa" w:w="2624"/>
            <w:tcMar>
              <w:top w:type="dxa" w:w="25"/>
              <w:left w:type="dxa" w:w="90"/>
              <w:bottom w:type="dxa" w:w="25"/>
              <w:right w:type="dxa" w:w="90"/>
            </w:tcMar>
            <w:vAlign w:val="top"/>
          </w:tcPr>
          <w:p>
            <w:pPr>
              <w:spacing w:after="30" w:before="0" w:line="252"/>
            </w:pPr>
            <w:r>
              <w:rPr>
                <w:b w:val="false"/>
                <w:bCs w:val="false"/>
                <w:sz w:val="16"/>
                <w:szCs w:val="16"/>
              </w:rPr>
              <w:t xml:space="preserve">Marketing mit Legal</w:t>
            </w:r>
          </w:p>
        </w:tc>
      </w:tr>
      <w:tr>
        <w:trPr>
          <w:cantSplit/>
        </w:trPr>
        <w:tc>
          <w:tcPr>
            <w:tcW w:type="dxa" w:w="3351"/>
            <w:shd w:fill="F3F5F7" w:color="auto" w:val="clear"/>
            <w:tcMar>
              <w:top w:type="dxa" w:w="25"/>
              <w:left w:type="dxa" w:w="90"/>
              <w:bottom w:type="dxa" w:w="25"/>
              <w:right w:type="dxa" w:w="90"/>
            </w:tcMar>
            <w:vAlign w:val="top"/>
          </w:tcPr>
          <w:p>
            <w:pPr>
              <w:spacing w:after="30" w:before="0" w:line="252"/>
            </w:pPr>
            <w:r>
              <w:rPr>
                <w:b/>
                <w:bCs/>
                <w:sz w:val="16"/>
                <w:szCs w:val="16"/>
              </w:rPr>
              <w:t xml:space="preserve">A10 Haltbarkeit, Reparatur, Updates, Verbrauchsmaterial (Anhang Nr. 23d UWG)</w:t>
            </w:r>
          </w:p>
        </w:tc>
        <w:tc>
          <w:tcPr>
            <w:tcW w:type="dxa" w:w="2622"/>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Produkt- und Gewährleistungs­risiko</w:t>
            </w:r>
          </w:p>
        </w:tc>
        <w:tc>
          <w:tcPr>
            <w:tcW w:type="dxa" w:w="3059"/>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Pflichten im Register; Schulung der Produktentwicklung</w:t>
            </w:r>
          </w:p>
        </w:tc>
        <w:tc>
          <w:tcPr>
            <w:tcW w:type="dxa" w:w="291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Stage-Gate-Kriterium; K3 mit Prüf­berichten</w:t>
            </w:r>
          </w:p>
        </w:tc>
        <w:tc>
          <w:tcPr>
            <w:tcW w:type="dxa" w:w="262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Produkt­management, Entwicklung</w:t>
            </w:r>
          </w:p>
        </w:tc>
      </w:tr>
      <w:tr>
        <w:trPr>
          <w:cantSplit/>
        </w:trPr>
        <w:tc>
          <w:tcPr>
            <w:tcW w:type="dxa" w:w="3351"/>
            <w:tcMar>
              <w:top w:type="dxa" w:w="25"/>
              <w:left w:type="dxa" w:w="90"/>
              <w:bottom w:type="dxa" w:w="25"/>
              <w:right w:type="dxa" w:w="90"/>
            </w:tcMar>
            <w:vAlign w:val="top"/>
          </w:tcPr>
          <w:p>
            <w:pPr>
              <w:spacing w:after="30" w:before="0" w:line="252"/>
            </w:pPr>
            <w:r>
              <w:rPr>
                <w:b/>
                <w:bCs/>
                <w:sz w:val="16"/>
                <w:szCs w:val="16"/>
              </w:rPr>
              <w:t xml:space="preserve">A11 Pflicht­informationen (Art. 246, 246a EGBGB)</w:t>
            </w:r>
          </w:p>
        </w:tc>
        <w:tc>
          <w:tcPr>
            <w:tcW w:type="dxa" w:w="2622"/>
            <w:tcMar>
              <w:top w:type="dxa" w:w="25"/>
              <w:left w:type="dxa" w:w="90"/>
              <w:bottom w:type="dxa" w:w="25"/>
              <w:right w:type="dxa" w:w="90"/>
            </w:tcMar>
            <w:vAlign w:val="top"/>
          </w:tcPr>
          <w:p>
            <w:pPr>
              <w:spacing w:after="30" w:before="0" w:line="252"/>
            </w:pPr>
            <w:r>
              <w:rPr>
                <w:b w:val="false"/>
                <w:bCs w:val="false"/>
                <w:sz w:val="16"/>
                <w:szCs w:val="16"/>
              </w:rPr>
              <w:t xml:space="preserve">Operatives Risiko (Datenqualität)</w:t>
            </w:r>
          </w:p>
        </w:tc>
        <w:tc>
          <w:tcPr>
            <w:tcW w:type="dxa" w:w="3059"/>
            <w:tcMar>
              <w:top w:type="dxa" w:w="25"/>
              <w:left w:type="dxa" w:w="90"/>
              <w:bottom w:type="dxa" w:w="25"/>
              <w:right w:type="dxa" w:w="90"/>
            </w:tcMar>
            <w:vAlign w:val="top"/>
          </w:tcPr>
          <w:p>
            <w:pPr>
              <w:spacing w:after="30" w:before="0" w:line="252"/>
            </w:pPr>
            <w:r>
              <w:rPr>
                <w:b w:val="false"/>
                <w:bCs w:val="false"/>
                <w:sz w:val="16"/>
                <w:szCs w:val="16"/>
              </w:rPr>
              <w:t xml:space="preserve">Pflicht im Register; Zuständigkeit für Produktdaten</w:t>
            </w:r>
          </w:p>
        </w:tc>
        <w:tc>
          <w:tcPr>
            <w:tcW w:type="dxa" w:w="2914"/>
            <w:tcMar>
              <w:top w:type="dxa" w:w="25"/>
              <w:left w:type="dxa" w:w="90"/>
              <w:bottom w:type="dxa" w:w="25"/>
              <w:right w:type="dxa" w:w="90"/>
            </w:tcMar>
            <w:vAlign w:val="top"/>
          </w:tcPr>
          <w:p>
            <w:pPr>
              <w:spacing w:after="30" w:before="0" w:line="252"/>
            </w:pPr>
            <w:r>
              <w:rPr>
                <w:b w:val="false"/>
                <w:bCs w:val="false"/>
                <w:sz w:val="16"/>
                <w:szCs w:val="16"/>
              </w:rPr>
              <w:t xml:space="preserve">K10 Pflicht­felder</w:t>
            </w:r>
          </w:p>
        </w:tc>
        <w:tc>
          <w:tcPr>
            <w:tcW w:type="dxa" w:w="2624"/>
            <w:tcMar>
              <w:top w:type="dxa" w:w="25"/>
              <w:left w:type="dxa" w:w="90"/>
              <w:bottom w:type="dxa" w:w="25"/>
              <w:right w:type="dxa" w:w="90"/>
            </w:tcMar>
            <w:vAlign w:val="top"/>
          </w:tcPr>
          <w:p>
            <w:pPr>
              <w:spacing w:after="30" w:before="0" w:line="252"/>
            </w:pPr>
            <w:r>
              <w:rPr>
                <w:b w:val="false"/>
                <w:bCs w:val="false"/>
                <w:sz w:val="16"/>
                <w:szCs w:val="16"/>
              </w:rPr>
              <w:t xml:space="preserve">E-Commerce, Produktdaten</w:t>
            </w:r>
          </w:p>
        </w:tc>
      </w:tr>
      <w:tr>
        <w:trPr>
          <w:cantSplit/>
        </w:trPr>
        <w:tc>
          <w:tcPr>
            <w:tcW w:type="dxa" w:w="3351"/>
            <w:shd w:fill="F3F5F7" w:color="auto" w:val="clear"/>
            <w:tcMar>
              <w:top w:type="dxa" w:w="25"/>
              <w:left w:type="dxa" w:w="90"/>
              <w:bottom w:type="dxa" w:w="25"/>
              <w:right w:type="dxa" w:w="90"/>
            </w:tcMar>
            <w:vAlign w:val="top"/>
          </w:tcPr>
          <w:p>
            <w:pPr>
              <w:spacing w:after="30" w:before="0" w:line="252"/>
            </w:pPr>
            <w:r>
              <w:rPr>
                <w:b/>
                <w:bCs/>
                <w:sz w:val="16"/>
                <w:szCs w:val="16"/>
              </w:rPr>
              <w:t xml:space="preserve">A12 Nachweis­fähigkeit (Art. 12 UGP-RL; Anhang Nr. 4a)</w:t>
            </w:r>
          </w:p>
        </w:tc>
        <w:tc>
          <w:tcPr>
            <w:tcW w:type="dxa" w:w="2622"/>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Beweisrisiko; Indikator Dossier-Vollständigkeit</w:t>
            </w:r>
          </w:p>
        </w:tc>
        <w:tc>
          <w:tcPr>
            <w:tcW w:type="dxa" w:w="3059"/>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Dokumentationsstandard; Playbook</w:t>
            </w:r>
          </w:p>
        </w:tc>
        <w:tc>
          <w:tcPr>
            <w:tcW w:type="dxa" w:w="291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K3, K12; 48-Stunden-Test</w:t>
            </w:r>
          </w:p>
        </w:tc>
        <w:tc>
          <w:tcPr>
            <w:tcW w:type="dxa" w:w="262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Claim-Governance-Owner</w:t>
            </w:r>
          </w:p>
        </w:tc>
      </w:tr>
      <w:tr>
        <w:trPr>
          <w:cantSplit/>
        </w:trPr>
        <w:tc>
          <w:tcPr>
            <w:tcW w:type="dxa" w:w="3351"/>
            <w:tcMar>
              <w:top w:type="dxa" w:w="25"/>
              <w:left w:type="dxa" w:w="90"/>
              <w:bottom w:type="dxa" w:w="25"/>
              <w:right w:type="dxa" w:w="90"/>
            </w:tcMar>
            <w:vAlign w:val="top"/>
          </w:tcPr>
          <w:p>
            <w:pPr>
              <w:spacing w:after="30" w:before="0" w:line="252"/>
            </w:pPr>
            <w:r>
              <w:rPr>
                <w:b/>
                <w:bCs/>
                <w:sz w:val="16"/>
                <w:szCs w:val="16"/>
              </w:rPr>
              <w:t xml:space="preserve">A13 Handeln von Mitarbeitenden und Beauftragten (§ 8 Abs. 2 UWG)</w:t>
            </w:r>
          </w:p>
        </w:tc>
        <w:tc>
          <w:tcPr>
            <w:tcW w:type="dxa" w:w="2622"/>
            <w:tcMar>
              <w:top w:type="dxa" w:w="25"/>
              <w:left w:type="dxa" w:w="90"/>
              <w:bottom w:type="dxa" w:w="25"/>
              <w:right w:type="dxa" w:w="90"/>
            </w:tcMar>
            <w:vAlign w:val="top"/>
          </w:tcPr>
          <w:p>
            <w:pPr>
              <w:spacing w:after="30" w:before="0" w:line="252"/>
            </w:pPr>
            <w:r>
              <w:rPr>
                <w:b w:val="false"/>
                <w:bCs w:val="false"/>
                <w:sz w:val="16"/>
                <w:szCs w:val="16"/>
              </w:rPr>
              <w:t xml:space="preserve">Treiber „dezentrale Urheber“</w:t>
            </w:r>
          </w:p>
        </w:tc>
        <w:tc>
          <w:tcPr>
            <w:tcW w:type="dxa" w:w="3059"/>
            <w:tcMar>
              <w:top w:type="dxa" w:w="25"/>
              <w:left w:type="dxa" w:w="90"/>
              <w:bottom w:type="dxa" w:w="25"/>
              <w:right w:type="dxa" w:w="90"/>
            </w:tcMar>
            <w:vAlign w:val="top"/>
          </w:tcPr>
          <w:p>
            <w:pPr>
              <w:spacing w:after="30" w:before="0" w:line="252"/>
            </w:pPr>
            <w:r>
              <w:rPr>
                <w:b w:val="false"/>
                <w:bCs w:val="false"/>
                <w:sz w:val="16"/>
                <w:szCs w:val="16"/>
              </w:rPr>
              <w:t xml:space="preserve">Vertragsklauseln; Schulung</w:t>
            </w:r>
          </w:p>
        </w:tc>
        <w:tc>
          <w:tcPr>
            <w:tcW w:type="dxa" w:w="2914"/>
            <w:tcMar>
              <w:top w:type="dxa" w:w="25"/>
              <w:left w:type="dxa" w:w="90"/>
              <w:bottom w:type="dxa" w:w="25"/>
              <w:right w:type="dxa" w:w="90"/>
            </w:tcMar>
            <w:vAlign w:val="top"/>
          </w:tcPr>
          <w:p>
            <w:pPr>
              <w:spacing w:after="30" w:before="0" w:line="252"/>
            </w:pPr>
            <w:r>
              <w:rPr>
                <w:b w:val="false"/>
                <w:bCs w:val="false"/>
                <w:sz w:val="16"/>
                <w:szCs w:val="16"/>
              </w:rPr>
              <w:t xml:space="preserve">K9 Stichprobe</w:t>
            </w:r>
          </w:p>
        </w:tc>
        <w:tc>
          <w:tcPr>
            <w:tcW w:type="dxa" w:w="2624"/>
            <w:tcMar>
              <w:top w:type="dxa" w:w="25"/>
              <w:left w:type="dxa" w:w="90"/>
              <w:bottom w:type="dxa" w:w="25"/>
              <w:right w:type="dxa" w:w="90"/>
            </w:tcMar>
            <w:vAlign w:val="top"/>
          </w:tcPr>
          <w:p>
            <w:pPr>
              <w:spacing w:after="30" w:before="0" w:line="252"/>
            </w:pPr>
            <w:r>
              <w:rPr>
                <w:b w:val="false"/>
                <w:bCs w:val="false"/>
                <w:sz w:val="16"/>
                <w:szCs w:val="16"/>
              </w:rPr>
              <w:t xml:space="preserve">Marketing mit Einkauf</w:t>
            </w:r>
          </w:p>
        </w:tc>
      </w:tr>
      <w:tr>
        <w:trPr>
          <w:cantSplit/>
        </w:trPr>
        <w:tc>
          <w:tcPr>
            <w:tcW w:type="dxa" w:w="3351"/>
            <w:shd w:fill="F3F5F7" w:color="auto" w:val="clear"/>
            <w:tcMar>
              <w:top w:type="dxa" w:w="25"/>
              <w:left w:type="dxa" w:w="90"/>
              <w:bottom w:type="dxa" w:w="25"/>
              <w:right w:type="dxa" w:w="90"/>
            </w:tcMar>
            <w:vAlign w:val="top"/>
          </w:tcPr>
          <w:p>
            <w:pPr>
              <w:spacing w:after="30" w:before="0" w:line="252"/>
            </w:pPr>
            <w:r>
              <w:rPr>
                <w:b/>
                <w:bCs/>
                <w:sz w:val="16"/>
                <w:szCs w:val="16"/>
              </w:rPr>
              <w:t xml:space="preserve">A14 Altbestände (§ 15b UWG, beschlossen, noch nicht in Kraft; CPC)</w:t>
            </w:r>
          </w:p>
        </w:tc>
        <w:tc>
          <w:tcPr>
            <w:tcW w:type="dxa" w:w="2622"/>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Operatives und Kostenrisiko</w:t>
            </w:r>
          </w:p>
        </w:tc>
        <w:tc>
          <w:tcPr>
            <w:tcW w:type="dxa" w:w="3059"/>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Beseitigungs­plan; Dokumentation der Bemühungen</w:t>
            </w:r>
          </w:p>
        </w:tc>
        <w:tc>
          <w:tcPr>
            <w:tcW w:type="dxa" w:w="291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Fortschritts­kontrolle (RB C20)</w:t>
            </w:r>
          </w:p>
        </w:tc>
        <w:tc>
          <w:tcPr>
            <w:tcW w:type="dxa" w:w="2624"/>
            <w:shd w:fill="F3F5F7" w:color="auto" w:val="clear"/>
            <w:tcMar>
              <w:top w:type="dxa" w:w="25"/>
              <w:left w:type="dxa" w:w="90"/>
              <w:bottom w:type="dxa" w:w="25"/>
              <w:right w:type="dxa" w:w="90"/>
            </w:tcMar>
            <w:vAlign w:val="top"/>
          </w:tcPr>
          <w:p>
            <w:pPr>
              <w:spacing w:after="30" w:before="0" w:line="252"/>
            </w:pPr>
            <w:r>
              <w:rPr>
                <w:b w:val="false"/>
                <w:bCs w:val="false"/>
                <w:sz w:val="16"/>
                <w:szCs w:val="16"/>
              </w:rPr>
              <w:t xml:space="preserve">Supply Chain, Vertrieb mit Geschäfts­leitung</w:t>
            </w:r>
          </w:p>
        </w:tc>
      </w:tr>
    </w:tbl>
    <w:p>
      <w:pPr>
        <w:spacing w:after="0" w:before="0" w:line="20" w:lineRule="exact"/>
      </w:pPr>
      <w:r>
        <w:rPr>
          <w:sz w:val="2"/>
          <w:szCs w:val="2"/>
        </w:rPr>
        <w:t xml:space="preserve"/>
      </w:r>
    </w:p>
    <w:p>
      <w:pPr>
        <w:sectPr>
          <w:headerReference w:type="default" r:id="rId10"/>
          <w:footerReference w:type="default" r:id="rId11"/>
          <w:pgSz w:w="16838" w:h="11906" w:orient="landscape"/>
          <w:pgMar w:top="1134" w:right="1134" w:bottom="1134" w:left="1134" w:header="567" w:footer="567" w:gutter="0"/>
          <w:pgNumType/>
          <w:docGrid w:linePitch="360"/>
        </w:sectPr>
      </w:pPr>
    </w:p>
    <w:p>
      <w:pPr>
        <w:pStyle w:val="Heading1"/>
        <w:keepNext/>
      </w:pPr>
      <w:r>
        <w:t xml:space="preserve">15 Fazit und Integrationspfad</w:t>
      </w:r>
    </w:p>
    <w:p>
      <w:pPr>
        <w:spacing w:after="120" w:before="0" w:line="276"/>
      </w:pPr>
      <w:r>
        <w:rPr>
          <w:b/>
          <w:bCs/>
        </w:rPr>
        <w:t xml:space="preserve">Antwort auf die Leitfrage:</w:t>
      </w:r>
      <w:r>
        <w:t xml:space="preserve"> Aufgrund von EmpCo muss ein Unternehmen in CMS, RMS und IKS rechtlich nichts Bestimmtes einrichten. Es muss aber sicherstellen, dass keine unzulässigen Aussagen veröffentlicht werden, dass Aussagen belegbar sind und dass die Pflichtinformationen vollständig sind. Daraus folgen wenige neue Elemente und viele Anpassungen.</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963"/>
        <w:gridCol w:w="4337"/>
        <w:gridCol w:w="4338"/>
      </w:tblGrid>
      <w:tr>
        <w:trPr>
          <w:cantSplit/>
          <w:tblHeader/>
        </w:trPr>
        <w:tc>
          <w:tcPr>
            <w:tcW w:type="dxa" w:w="963"/>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System</w:t>
            </w:r>
          </w:p>
        </w:tc>
        <w:tc>
          <w:tcPr>
            <w:tcW w:type="dxa" w:w="4337"/>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Neu aufzunehmen</w:t>
            </w:r>
          </w:p>
        </w:tc>
        <w:tc>
          <w:tcPr>
            <w:tcW w:type="dxa" w:w="4338"/>
            <w:shd w:fill="13233A" w:color="auto" w:val="clear"/>
            <w:tcMar>
              <w:top w:type="dxa" w:w="50"/>
              <w:left w:type="dxa" w:w="90"/>
              <w:bottom w:type="dxa" w:w="50"/>
              <w:right w:type="dxa" w:w="90"/>
            </w:tcMar>
            <w:vAlign w:val="top"/>
          </w:tcPr>
          <w:p>
            <w:pPr>
              <w:spacing w:after="30" w:before="0" w:line="252"/>
            </w:pPr>
            <w:r>
              <w:rPr>
                <w:b/>
                <w:bCs/>
                <w:color w:val="FFFFFF"/>
                <w:sz w:val="18"/>
                <w:szCs w:val="18"/>
              </w:rPr>
              <w:t xml:space="preserve">Anzupassen</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RMS</w:t>
            </w:r>
          </w:p>
        </w:tc>
        <w:tc>
          <w:tcPr>
            <w:tcW w:type="dxa" w:w="4337"/>
            <w:tcMar>
              <w:top w:type="dxa" w:w="50"/>
              <w:left w:type="dxa" w:w="90"/>
              <w:bottom w:type="dxa" w:w="50"/>
              <w:right w:type="dxa" w:w="90"/>
            </w:tcMar>
            <w:vAlign w:val="top"/>
          </w:tcPr>
          <w:p>
            <w:pPr>
              <w:spacing w:after="30" w:before="0" w:line="252"/>
            </w:pPr>
            <w:r>
              <w:rPr>
                <w:b w:val="false"/>
                <w:bCs w:val="false"/>
                <w:sz w:val="18"/>
                <w:szCs w:val="18"/>
              </w:rPr>
              <w:t xml:space="preserve">Eine Unter­kategorie „Claim-Risiko“ mit Treibern, Risiko­appetit und Risk Owner; Frühwarn­indikatoren als Best Practice.</w:t>
            </w:r>
          </w:p>
        </w:tc>
        <w:tc>
          <w:tcPr>
            <w:tcW w:type="dxa" w:w="4338"/>
            <w:tcMar>
              <w:top w:type="dxa" w:w="50"/>
              <w:left w:type="dxa" w:w="90"/>
              <w:bottom w:type="dxa" w:w="50"/>
              <w:right w:type="dxa" w:w="90"/>
            </w:tcMar>
            <w:vAlign w:val="top"/>
          </w:tcPr>
          <w:p>
            <w:pPr>
              <w:spacing w:after="30" w:before="0" w:line="252"/>
            </w:pPr>
            <w:r>
              <w:rPr>
                <w:b w:val="false"/>
                <w:bCs w:val="false"/>
                <w:sz w:val="18"/>
                <w:szCs w:val="18"/>
              </w:rPr>
              <w:t xml:space="preserve">Risiko­katalog, Bewertungskriterien, Risiko­inventur, Risiko­bericht.</w:t>
            </w:r>
          </w:p>
        </w:tc>
      </w:tr>
      <w:tr>
        <w:trPr>
          <w:cantSplit/>
        </w:trPr>
        <w:tc>
          <w:tcPr>
            <w:tcW w:type="dxa" w:w="963"/>
            <w:shd w:fill="F3F5F7" w:color="auto" w:val="clear"/>
            <w:tcMar>
              <w:top w:type="dxa" w:w="50"/>
              <w:left w:type="dxa" w:w="90"/>
              <w:bottom w:type="dxa" w:w="50"/>
              <w:right w:type="dxa" w:w="90"/>
            </w:tcMar>
            <w:vAlign w:val="top"/>
          </w:tcPr>
          <w:p>
            <w:pPr>
              <w:spacing w:after="30" w:before="0" w:line="252"/>
            </w:pPr>
            <w:r>
              <w:rPr>
                <w:b/>
                <w:bCs/>
                <w:sz w:val="18"/>
                <w:szCs w:val="18"/>
              </w:rPr>
              <w:t xml:space="preserve">CMS</w:t>
            </w:r>
          </w:p>
        </w:tc>
        <w:tc>
          <w:tcPr>
            <w:tcW w:type="dxa" w:w="4337"/>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Pflichten A1–A14; Risikofeld; Claims-Richtlinie mit Negativliste; Claim-Governance-Owner; Claim-Register; Label-Register und Prozess für Zukunfts­aussagen, falls genutzt.</w:t>
            </w:r>
          </w:p>
        </w:tc>
        <w:tc>
          <w:tcPr>
            <w:tcW w:type="dxa" w:w="4338"/>
            <w:shd w:fill="F3F5F7" w:color="auto" w:val="clear"/>
            <w:tcMar>
              <w:top w:type="dxa" w:w="50"/>
              <w:left w:type="dxa" w:w="90"/>
              <w:bottom w:type="dxa" w:w="50"/>
              <w:right w:type="dxa" w:w="90"/>
            </w:tcMar>
            <w:vAlign w:val="top"/>
          </w:tcPr>
          <w:p>
            <w:pPr>
              <w:spacing w:after="30" w:before="0" w:line="252"/>
            </w:pPr>
            <w:r>
              <w:rPr>
                <w:b w:val="false"/>
                <w:bCs w:val="false"/>
                <w:sz w:val="18"/>
                <w:szCs w:val="18"/>
              </w:rPr>
              <w:t xml:space="preserve">Pflichten­register, Compliance-Risiko­analyse, Richtlinien, Verträge, Schulungs­plan, Hinweis­geber­system, Compliance-Bericht.</w:t>
            </w:r>
          </w:p>
        </w:tc>
      </w:tr>
      <w:tr>
        <w:trPr>
          <w:cantSplit/>
        </w:trPr>
        <w:tc>
          <w:tcPr>
            <w:tcW w:type="dxa" w:w="963"/>
            <w:tcMar>
              <w:top w:type="dxa" w:w="50"/>
              <w:left w:type="dxa" w:w="90"/>
              <w:bottom w:type="dxa" w:w="50"/>
              <w:right w:type="dxa" w:w="90"/>
            </w:tcMar>
            <w:vAlign w:val="top"/>
          </w:tcPr>
          <w:p>
            <w:pPr>
              <w:spacing w:after="30" w:before="0" w:line="252"/>
            </w:pPr>
            <w:r>
              <w:rPr>
                <w:b/>
                <w:bCs/>
                <w:sz w:val="18"/>
                <w:szCs w:val="18"/>
              </w:rPr>
              <w:t xml:space="preserve">IKS</w:t>
            </w:r>
          </w:p>
        </w:tc>
        <w:tc>
          <w:tcPr>
            <w:tcW w:type="dxa" w:w="4337"/>
            <w:tcMar>
              <w:top w:type="dxa" w:w="50"/>
              <w:left w:type="dxa" w:w="90"/>
              <w:bottom w:type="dxa" w:w="50"/>
              <w:right w:type="dxa" w:w="90"/>
            </w:tcMar>
            <w:vAlign w:val="top"/>
          </w:tcPr>
          <w:p>
            <w:pPr>
              <w:spacing w:after="30" w:before="0" w:line="252"/>
            </w:pPr>
            <w:r>
              <w:rPr>
                <w:b w:val="false"/>
                <w:bCs w:val="false"/>
                <w:sz w:val="18"/>
                <w:szCs w:val="18"/>
              </w:rPr>
              <w:t xml:space="preserve">Prozess „Kommunikation und Produkt­aussagen“ mit den Kontrollen K1–K12.</w:t>
            </w:r>
          </w:p>
        </w:tc>
        <w:tc>
          <w:tcPr>
            <w:tcW w:type="dxa" w:w="4338"/>
            <w:tcMar>
              <w:top w:type="dxa" w:w="50"/>
              <w:left w:type="dxa" w:w="90"/>
              <w:bottom w:type="dxa" w:w="50"/>
              <w:right w:type="dxa" w:w="90"/>
            </w:tcMar>
            <w:vAlign w:val="top"/>
          </w:tcPr>
          <w:p>
            <w:pPr>
              <w:spacing w:after="30" w:before="0" w:line="252"/>
            </w:pPr>
            <w:r>
              <w:rPr>
                <w:b w:val="false"/>
                <w:bCs w:val="false"/>
                <w:sz w:val="18"/>
                <w:szCs w:val="18"/>
              </w:rPr>
              <w:t xml:space="preserve">Kompetenzordnung, Freigaben, Stage-Gate, Änderungs­lenkung, PIM, Wareneingang, Kontroll­test­plan.</w:t>
            </w:r>
          </w:p>
        </w:tc>
      </w:tr>
    </w:tbl>
    <w:p>
      <w:pPr>
        <w:spacing w:after="120"/>
      </w:pPr>
    </w:p>
    <w:p>
      <w:pPr>
        <w:pStyle w:val="Heading3"/>
        <w:keepNext/>
      </w:pPr>
      <w:r>
        <w:t xml:space="preserve">Integrationspfad in fünf Schritten</w:t>
      </w:r>
    </w:p>
    <w:p>
      <w:pPr>
        <w:pStyle w:val="ListParagraph"/>
        <w:numPr>
          <w:ilvl w:val="0"/>
          <w:numId w:val="4"/>
        </w:numPr>
        <w:spacing w:after="60" w:before="0" w:line="276"/>
      </w:pPr>
      <w:r>
        <w:rPr>
          <w:b/>
          <w:bCs/>
        </w:rPr>
        <w:t xml:space="preserve">Betroffenheit feststellen:</w:t>
      </w:r>
      <w:r>
        <w:t xml:space="preserve"> Claim-Inventur und Kanalübersicht; B2C-Anteil; Siegel; Zukunftsaussagen; Altbestände. Ergebnis dokumentieren, als ersten Organisationsnachweis.</w:t>
      </w:r>
    </w:p>
    <w:p>
      <w:pPr>
        <w:pStyle w:val="ListParagraph"/>
        <w:numPr>
          <w:ilvl w:val="0"/>
          <w:numId w:val="4"/>
        </w:numPr>
        <w:spacing w:after="60" w:before="0" w:line="276"/>
      </w:pPr>
      <w:r>
        <w:rPr>
          <w:b/>
          <w:bCs/>
        </w:rPr>
        <w:t xml:space="preserve">Sofortmaßnahmen:</w:t>
      </w:r>
      <w:r>
        <w:t xml:space="preserve"> digitale Per-se-Verstöße entfernen; keine neuen Claims ohne Freigabe; Altbestandsplan aufsetzen.</w:t>
      </w:r>
    </w:p>
    <w:p>
      <w:pPr>
        <w:pStyle w:val="ListParagraph"/>
        <w:numPr>
          <w:ilvl w:val="0"/>
          <w:numId w:val="4"/>
        </w:numPr>
        <w:spacing w:after="60" w:before="0" w:line="276"/>
      </w:pPr>
      <w:r>
        <w:rPr>
          <w:b/>
          <w:bCs/>
        </w:rPr>
        <w:t xml:space="preserve">Im CMS verankern:</w:t>
      </w:r>
      <w:r>
        <w:t xml:space="preserve"> Pflichten, Risikofeld, Richtlinie, Owner, Register, Schulung, Hinweisgeberkategorie.</w:t>
      </w:r>
    </w:p>
    <w:p>
      <w:pPr>
        <w:pStyle w:val="ListParagraph"/>
        <w:numPr>
          <w:ilvl w:val="0"/>
          <w:numId w:val="4"/>
        </w:numPr>
        <w:spacing w:after="60" w:before="0" w:line="276"/>
      </w:pPr>
      <w:r>
        <w:rPr>
          <w:b/>
          <w:bCs/>
        </w:rPr>
        <w:t xml:space="preserve">Kontrollen im IKS festlegen:</w:t>
      </w:r>
      <w:r>
        <w:t xml:space="preserve"> zuerst Freigabe-Gate, Negativliste, Evidenzprüfung und Freigabematrix; danach Trigger, Scans und Pflichtfelder.</w:t>
      </w:r>
    </w:p>
    <w:p>
      <w:pPr>
        <w:pStyle w:val="ListParagraph"/>
        <w:numPr>
          <w:ilvl w:val="0"/>
          <w:numId w:val="4"/>
        </w:numPr>
        <w:spacing w:after="60" w:before="0" w:line="276"/>
      </w:pPr>
      <w:r>
        <w:rPr>
          <w:b/>
          <w:bCs/>
        </w:rPr>
        <w:t xml:space="preserve">Im RMS bewerten und berichten:</w:t>
      </w:r>
      <w:r>
        <w:t xml:space="preserve"> Unterkategorie, Treiber, Risikoappetit; Bericht an Geschäftsleitung und Aufsichtsgremium; jährliche Prüfung der Wirksamkeit.</w:t>
      </w:r>
    </w:p>
    <w:p>
      <w:pPr>
        <w:spacing w:after="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F6F63" w:sz="24"/>
              <w:bottom w:val="none" w:color="FFFFFF" w:sz="0"/>
              <w:right w:val="none" w:color="FFFFFF" w:sz="0"/>
            </w:tcBorders>
            <w:shd w:fill="E4F1EE" w:color="auto" w:val="clear"/>
            <w:tcMar>
              <w:top w:type="dxa" w:w="140"/>
              <w:left w:type="dxa" w:w="220"/>
              <w:bottom w:type="dxa" w:w="140"/>
              <w:right w:type="dxa" w:w="220"/>
            </w:tcMar>
          </w:tcPr>
          <w:p>
            <w:pPr>
              <w:keepNext/>
              <w:spacing w:after="60"/>
            </w:pPr>
            <w:r>
              <w:rPr>
                <w:b/>
                <w:bCs/>
                <w:color w:val="1F6F63"/>
              </w:rPr>
              <w:t xml:space="preserve">Leitsatz</w:t>
            </w:r>
          </w:p>
          <w:p>
            <w:pPr>
              <w:spacing w:after="0" w:before="0" w:line="276"/>
            </w:pPr>
            <w:r>
              <w:t xml:space="preserve">Nicht das Managementsystem ist neu, sondern das Objekt. Wer den Claim als kontrollierte Unternehmensaussage behandelt – mit Register, Beleg, Freigabe und Verantwortung –, hat den Kern von EmpCo in seine GRC-Struktur übernommen.</w:t>
            </w:r>
          </w:p>
        </w:tc>
      </w:tr>
    </w:tbl>
    <w:p>
      <w:pPr>
        <w:spacing w:after="120"/>
      </w:pPr>
    </w:p>
    <w:p>
      <w:pPr>
        <w:pStyle w:val="Heading1"/>
        <w:keepNext/>
        <w:pageBreakBefore/>
      </w:pPr>
      <w:r>
        <w:t xml:space="preserve">16 Grenzen und offene Punkte</w:t>
      </w:r>
    </w:p>
    <w:p>
      <w:pPr>
        <w:pStyle w:val="ListParagraph"/>
        <w:numPr>
          <w:ilvl w:val="0"/>
          <w:numId w:val="2"/>
        </w:numPr>
        <w:spacing w:after="60" w:before="0" w:line="276"/>
      </w:pPr>
      <w:r>
        <w:rPr>
          <w:b/>
          <w:bCs/>
        </w:rPr>
        <w:t xml:space="preserve">Normtexte:</w:t>
      </w:r>
      <w:r>
        <w:t xml:space="preserve"> Die Primärtexte waren in der Arbeitsumgebung nicht abrufbar. Die Paragrafen- und Nummernangaben zum UWG n. F. und zum EGBGB beruhen auf übereinstimmenden Sekundärquellen. Das gilt besonders für die Zuordnung von § 5 Abs. 3 Nr. 3 (irrelevante Vorteile) und Nr. 4 (Zukunftsaussagen). Vor externer Verwendung am BGBl. 2026 I Nr. 43 und Nr. 28 prüfen.</w:t>
      </w:r>
    </w:p>
    <w:p>
      <w:pPr>
        <w:pStyle w:val="ListParagraph"/>
        <w:numPr>
          <w:ilvl w:val="0"/>
          <w:numId w:val="2"/>
        </w:numPr>
        <w:spacing w:after="60" w:before="0" w:line="276"/>
      </w:pPr>
      <w:r>
        <w:rPr>
          <w:b/>
          <w:bCs/>
        </w:rPr>
        <w:t xml:space="preserve">§ 15b UWG:</w:t>
      </w:r>
      <w:r>
        <w:t xml:space="preserve"> vom Bundestag am 24.09.2026 beschlossen; Bundesrat voraussichtlich am 16.10.2026; rückwirkende Geltung geplant. Der Stand ist nachzuhalten </w:t>
      </w:r>
      <w:r>
        <w:rPr>
          <w:color w:val="5E6B78"/>
          <w:sz w:val="18"/>
          <w:szCs w:val="18"/>
        </w:rPr>
        <w:t xml:space="preserve">[R8]</w:t>
      </w:r>
      <w:r>
        <w:t xml:space="preserve">.</w:t>
      </w:r>
    </w:p>
    <w:p>
      <w:pPr>
        <w:pStyle w:val="ListParagraph"/>
        <w:numPr>
          <w:ilvl w:val="0"/>
          <w:numId w:val="2"/>
        </w:numPr>
        <w:spacing w:after="60" w:before="0" w:line="276"/>
      </w:pPr>
      <w:r>
        <w:rPr>
          <w:b/>
          <w:bCs/>
        </w:rPr>
        <w:t xml:space="preserve">Auslegung:</w:t>
      </w:r>
      <w:r>
        <w:t xml:space="preserve"> Zu den neuen Tatbeständen gibt es noch keine gefestigte Rechtsprechung. Die Q&amp;A der Kommission sind nicht bindend </w:t>
      </w:r>
      <w:r>
        <w:rPr>
          <w:color w:val="5E6B78"/>
          <w:sz w:val="18"/>
          <w:szCs w:val="18"/>
        </w:rPr>
        <w:t xml:space="preserve">[B1]</w:t>
      </w:r>
      <w:r>
        <w:t xml:space="preserve">.</w:t>
      </w:r>
    </w:p>
    <w:p>
      <w:pPr>
        <w:pStyle w:val="ListParagraph"/>
        <w:numPr>
          <w:ilvl w:val="0"/>
          <w:numId w:val="2"/>
        </w:numPr>
        <w:spacing w:after="60" w:before="0" w:line="276"/>
      </w:pPr>
      <w:r>
        <w:rPr>
          <w:b/>
          <w:bCs/>
        </w:rPr>
        <w:t xml:space="preserve">Standards:</w:t>
      </w:r>
      <w:r>
        <w:t xml:space="preserve"> IDW PS 980, 981 und 982, ISO 37301 und 31000 sowie COSO sind kostenpflichtig. Ihre Struktur ist nach öffentlich zugänglichen Beschreibungen wiedergegeben; Abschnittsnummern vor externer Verwendung am Standard prüfen.</w:t>
      </w:r>
    </w:p>
    <w:p>
      <w:pPr>
        <w:pStyle w:val="ListParagraph"/>
        <w:numPr>
          <w:ilvl w:val="0"/>
          <w:numId w:val="2"/>
        </w:numPr>
        <w:spacing w:after="60" w:before="0" w:line="276"/>
      </w:pPr>
      <w:r>
        <w:rPr>
          <w:b/>
          <w:bCs/>
        </w:rPr>
        <w:t xml:space="preserve">Praxiseinschätzungen:</w:t>
      </w:r>
      <w:r>
        <w:t xml:space="preserve"> Aussagen dazu, wie häufig Werberecht im CMS oder Marketingprozesse im IKS abgedeckt sind, beruhen auf Beratungserfahrung, nicht auf Erhebungen.</w:t>
      </w:r>
    </w:p>
    <w:p>
      <w:pPr>
        <w:pStyle w:val="ListParagraph"/>
        <w:numPr>
          <w:ilvl w:val="0"/>
          <w:numId w:val="2"/>
        </w:numPr>
        <w:spacing w:after="60" w:before="0" w:line="276"/>
      </w:pPr>
      <w:r>
        <w:rPr>
          <w:b/>
          <w:bCs/>
        </w:rPr>
        <w:t xml:space="preserve">Keine Rechtsberatung:</w:t>
      </w:r>
      <w:r>
        <w:t xml:space="preserve"> Die Beispiele sind vereinfacht. Die rechtliche Bewertung konkreter Claims bleibt einer Prüfung im Einzelfall vorbehalten.</w:t>
      </w:r>
    </w:p>
    <w:p>
      <w:pPr>
        <w:pStyle w:val="ListParagraph"/>
        <w:numPr>
          <w:ilvl w:val="0"/>
          <w:numId w:val="2"/>
        </w:numPr>
        <w:spacing w:after="60" w:before="0" w:line="276"/>
      </w:pPr>
      <w:r>
        <w:rPr>
          <w:b/>
          <w:bCs/>
        </w:rPr>
        <w:t xml:space="preserve">Mögliche Vertiefungen:</w:t>
      </w:r>
      <w:r>
        <w:t xml:space="preserve"> branchenspezifische Ausprägung (z. B. Lebensmittel, Textil, Elektro); Prüfung eines CMS-Teilbereichs „Claims“ nach IDW PS 980; Werkzeugunterstützung für Register und Scans.</w:t>
      </w:r>
    </w:p>
    <w:p>
      <w:pPr>
        <w:spacing w:after="40"/>
      </w:pPr>
    </w:p>
    <w:p>
      <w:pPr>
        <w:pStyle w:val="Heading1"/>
        <w:keepNext/>
        <w:pageBreakBefore/>
      </w:pPr>
      <w:r>
        <w:t xml:space="preserve">Anhang A – Quellen mit Validierungsstatus</w:t>
      </w:r>
    </w:p>
    <w:p>
      <w:pPr>
        <w:spacing w:after="120" w:before="0" w:line="276"/>
      </w:pPr>
      <w:r>
        <w:t xml:space="preserve">Reihenfolge nach Quellenrang. „Gesperrt“ bedeutet: In der Arbeitsumgebung nicht abrufbar; der Inhalt wurde über den bekannten Richtlinientext, die Research-Basis und übereinstimmende Sekundärquellen validiert.</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578"/>
        <w:gridCol w:w="3469"/>
        <w:gridCol w:w="3469"/>
        <w:gridCol w:w="2122"/>
      </w:tblGrid>
      <w:tr>
        <w:trPr>
          <w:cantSplit/>
          <w:tblHeader/>
        </w:trPr>
        <w:tc>
          <w:tcPr>
            <w:tcW w:type="dxa" w:w="578"/>
            <w:shd w:fill="13233A" w:color="auto" w:val="clear"/>
            <w:tcMar>
              <w:top w:type="dxa" w:w="50"/>
              <w:left w:type="dxa" w:w="90"/>
              <w:bottom w:type="dxa" w:w="50"/>
              <w:right w:type="dxa" w:w="90"/>
            </w:tcMar>
            <w:vAlign w:val="top"/>
          </w:tcPr>
          <w:p>
            <w:pPr>
              <w:spacing w:after="30" w:before="0" w:line="252"/>
            </w:pPr>
            <w:r>
              <w:rPr>
                <w:b/>
                <w:bCs/>
                <w:color w:val="FFFFFF"/>
                <w:sz w:val="15"/>
                <w:szCs w:val="15"/>
              </w:rPr>
              <w:t xml:space="preserve">ID</w:t>
            </w:r>
          </w:p>
        </w:tc>
        <w:tc>
          <w:tcPr>
            <w:tcW w:type="dxa" w:w="3469"/>
            <w:shd w:fill="13233A" w:color="auto" w:val="clear"/>
            <w:tcMar>
              <w:top w:type="dxa" w:w="50"/>
              <w:left w:type="dxa" w:w="90"/>
              <w:bottom w:type="dxa" w:w="50"/>
              <w:right w:type="dxa" w:w="90"/>
            </w:tcMar>
            <w:vAlign w:val="top"/>
          </w:tcPr>
          <w:p>
            <w:pPr>
              <w:spacing w:after="30" w:before="0" w:line="252"/>
            </w:pPr>
            <w:r>
              <w:rPr>
                <w:b/>
                <w:bCs/>
                <w:color w:val="FFFFFF"/>
                <w:sz w:val="15"/>
                <w:szCs w:val="15"/>
              </w:rPr>
              <w:t xml:space="preserve">Quelle</w:t>
            </w:r>
          </w:p>
        </w:tc>
        <w:tc>
          <w:tcPr>
            <w:tcW w:type="dxa" w:w="3469"/>
            <w:shd w:fill="13233A" w:color="auto" w:val="clear"/>
            <w:tcMar>
              <w:top w:type="dxa" w:w="50"/>
              <w:left w:type="dxa" w:w="90"/>
              <w:bottom w:type="dxa" w:w="50"/>
              <w:right w:type="dxa" w:w="90"/>
            </w:tcMar>
            <w:vAlign w:val="top"/>
          </w:tcPr>
          <w:p>
            <w:pPr>
              <w:spacing w:after="30" w:before="0" w:line="252"/>
            </w:pPr>
            <w:r>
              <w:rPr>
                <w:b/>
                <w:bCs/>
                <w:color w:val="FFFFFF"/>
                <w:sz w:val="15"/>
                <w:szCs w:val="15"/>
              </w:rPr>
              <w:t xml:space="preserve">Fundstelle</w:t>
            </w:r>
          </w:p>
        </w:tc>
        <w:tc>
          <w:tcPr>
            <w:tcW w:type="dxa" w:w="2122"/>
            <w:shd w:fill="13233A" w:color="auto" w:val="clear"/>
            <w:tcMar>
              <w:top w:type="dxa" w:w="50"/>
              <w:left w:type="dxa" w:w="90"/>
              <w:bottom w:type="dxa" w:w="50"/>
              <w:right w:type="dxa" w:w="90"/>
            </w:tcMar>
            <w:vAlign w:val="top"/>
          </w:tcPr>
          <w:p>
            <w:pPr>
              <w:spacing w:after="30" w:before="0" w:line="252"/>
            </w:pPr>
            <w:r>
              <w:rPr>
                <w:b/>
                <w:bCs/>
                <w:color w:val="FFFFFF"/>
                <w:sz w:val="15"/>
                <w:szCs w:val="15"/>
              </w:rPr>
              <w:t xml:space="preserve">Status</w:t>
            </w:r>
          </w:p>
        </w:tc>
      </w:tr>
      <w:tr>
        <w:trPr>
          <w:cantSplit/>
        </w:trPr>
        <w:tc>
          <w:tcPr>
            <w:tcW w:type="dxa" w:w="9638"/>
            <w:gridSpan w:val="4"/>
            <w:shd w:fill="DCE9E6" w:color="auto" w:val="clear"/>
            <w:tcMar>
              <w:top w:type="dxa" w:w="50"/>
              <w:left w:type="dxa" w:w="90"/>
              <w:bottom w:type="dxa" w:w="50"/>
              <w:right w:type="dxa" w:w="90"/>
            </w:tcMar>
            <w:vAlign w:val="top"/>
          </w:tcPr>
          <w:p>
            <w:pPr>
              <w:spacing w:after="30" w:before="0" w:line="252"/>
            </w:pPr>
            <w:r>
              <w:rPr>
                <w:b/>
                <w:bCs/>
                <w:color w:val="13233A"/>
                <w:sz w:val="15"/>
                <w:szCs w:val="15"/>
              </w:rPr>
              <w:t xml:space="preserve">Rechtsquellen</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R1</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Richtlinie (EU) 2024/825 („EmpCo“) vom 28.02.2024, ABl. L 2024/825 vom 06.03.2024</w:t>
            </w:r>
          </w:p>
        </w:tc>
        <w:tc>
          <w:tcPr>
            <w:tcW w:type="dxa" w:w="3469"/>
            <w:tcMar>
              <w:top w:type="dxa" w:w="50"/>
              <w:left w:type="dxa" w:w="90"/>
              <w:bottom w:type="dxa" w:w="50"/>
              <w:right w:type="dxa" w:w="90"/>
            </w:tcMar>
            <w:vAlign w:val="top"/>
          </w:tcPr>
          <w:p>
            <w:pPr>
              <w:spacing w:after="30" w:before="0" w:line="252"/>
            </w:pPr>
            <w:hyperlink w:history="1" r:id="rId3l8mq333r3ucadkswhzkr">
              <w:r>
                <w:rPr>
                  <w:b w:val="false"/>
                  <w:bCs w:val="false"/>
                  <w:color w:val="1F4E9A"/>
                  <w:sz w:val="15"/>
                  <w:szCs w:val="15"/>
                  <w:u w:val="single"/>
                </w:rPr>
                <w:t xml:space="preserve">https://eur-lex.europa.eu/eli/dir/2024/825/oj?locale=de</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gesperrt; über RB und Sekundärquellen validiert</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R2</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Richtlinie 2005/29/EG über unlautere Geschäftspraktiken (UGP-RL), konsolidierte Fassung</w:t>
            </w:r>
          </w:p>
        </w:tc>
        <w:tc>
          <w:tcPr>
            <w:tcW w:type="dxa" w:w="3469"/>
            <w:shd w:fill="F3F5F7" w:color="auto" w:val="clear"/>
            <w:tcMar>
              <w:top w:type="dxa" w:w="50"/>
              <w:left w:type="dxa" w:w="90"/>
              <w:bottom w:type="dxa" w:w="50"/>
              <w:right w:type="dxa" w:w="90"/>
            </w:tcMar>
            <w:vAlign w:val="top"/>
          </w:tcPr>
          <w:p>
            <w:pPr>
              <w:spacing w:after="30" w:before="0" w:line="252"/>
            </w:pPr>
            <w:hyperlink w:history="1" r:id="rIdhe-rerpdmvgdyjpxjwfkd">
              <w:r>
                <w:rPr>
                  <w:b w:val="false"/>
                  <w:bCs w:val="false"/>
                  <w:color w:val="1F4E9A"/>
                  <w:sz w:val="15"/>
                  <w:szCs w:val="15"/>
                  <w:u w:val="single"/>
                </w:rPr>
                <w:t xml:space="preserve">https://eur-lex.europa.eu/legal-content/DE/TXT/?uri=celex:32005L0029</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gesperrt; wie R1</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R3</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Richtlinie 2011/83/EU über die Rechte der Verbraucher (VRRL), konsolidierte Fassung</w:t>
            </w:r>
          </w:p>
        </w:tc>
        <w:tc>
          <w:tcPr>
            <w:tcW w:type="dxa" w:w="3469"/>
            <w:tcMar>
              <w:top w:type="dxa" w:w="50"/>
              <w:left w:type="dxa" w:w="90"/>
              <w:bottom w:type="dxa" w:w="50"/>
              <w:right w:type="dxa" w:w="90"/>
            </w:tcMar>
            <w:vAlign w:val="top"/>
          </w:tcPr>
          <w:p>
            <w:pPr>
              <w:spacing w:after="30" w:before="0" w:line="252"/>
            </w:pPr>
            <w:hyperlink w:history="1" r:id="rIdkmxsdnephzenpdc2-clud">
              <w:r>
                <w:rPr>
                  <w:b w:val="false"/>
                  <w:bCs w:val="false"/>
                  <w:color w:val="1F4E9A"/>
                  <w:sz w:val="15"/>
                  <w:szCs w:val="15"/>
                  <w:u w:val="single"/>
                </w:rPr>
                <w:t xml:space="preserve">https://eur-lex.europa.eu/legal-content/DE/TXT/?uri=celex:32011L0083</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gesperrt; wie R1</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R4</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UWG n. F. (Drittes Gesetz zur Änderung des UWG), BGBl. 2026 I Nr. 43</w:t>
            </w:r>
          </w:p>
        </w:tc>
        <w:tc>
          <w:tcPr>
            <w:tcW w:type="dxa" w:w="3469"/>
            <w:shd w:fill="F3F5F7" w:color="auto" w:val="clear"/>
            <w:tcMar>
              <w:top w:type="dxa" w:w="50"/>
              <w:left w:type="dxa" w:w="90"/>
              <w:bottom w:type="dxa" w:w="50"/>
              <w:right w:type="dxa" w:w="90"/>
            </w:tcMar>
            <w:vAlign w:val="top"/>
          </w:tcPr>
          <w:p>
            <w:pPr>
              <w:spacing w:after="30" w:before="0" w:line="252"/>
            </w:pPr>
            <w:hyperlink w:history="1" r:id="rIdgry6exxc3uppn-ie6lpkl">
              <w:r>
                <w:rPr>
                  <w:b w:val="false"/>
                  <w:bCs w:val="false"/>
                  <w:color w:val="1F4E9A"/>
                  <w:sz w:val="15"/>
                  <w:szCs w:val="15"/>
                  <w:u w:val="single"/>
                </w:rPr>
                <w:t xml:space="preserve">https://www.recht.bund.de/bgbl/1/2026/43/regelungstext.pdf?__blob=publicationFile&amp;v=1</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gesperrt; Paragrafen nach Sekundärquellen, vor Verwendung prüfen</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R5</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BGB/EGBGB, Umsetzung des VRRL-Teils (BGBl. 2026 I Nr. 28), Art. 246, 246a EGBGB</w:t>
            </w:r>
          </w:p>
        </w:tc>
        <w:tc>
          <w:tcPr>
            <w:tcW w:type="dxa" w:w="3469"/>
            <w:tcMar>
              <w:top w:type="dxa" w:w="50"/>
              <w:left w:type="dxa" w:w="90"/>
              <w:bottom w:type="dxa" w:w="50"/>
              <w:right w:type="dxa" w:w="90"/>
            </w:tcMar>
            <w:vAlign w:val="top"/>
          </w:tcPr>
          <w:p>
            <w:pPr>
              <w:spacing w:after="30" w:before="0" w:line="252"/>
            </w:pPr>
            <w:hyperlink w:history="1" r:id="rIddxvree-d6jedlmpgzinss">
              <w:r>
                <w:rPr>
                  <w:b w:val="false"/>
                  <w:bCs w:val="false"/>
                  <w:color w:val="1F4E9A"/>
                  <w:sz w:val="15"/>
                  <w:szCs w:val="15"/>
                  <w:u w:val="single"/>
                </w:rPr>
                <w:t xml:space="preserve">https://shopbetreiber-blog.de/ab-27-9-2026-die-umsetzung-der-empco-rl-im-bgb-und-egbgb</w:t>
              </w:r>
            </w:hyperlink>
            <w:r>
              <w:rPr>
                <w:b w:val="false"/>
                <w:bCs w:val="false"/>
                <w:sz w:val="15"/>
                <w:szCs w:val="15"/>
              </w:rPr>
              <w:t xml:space="preserve">; </w:t>
            </w:r>
            <w:hyperlink w:history="1" r:id="rIdsejlohefbd9h3dxq3ityj">
              <w:r>
                <w:rPr>
                  <w:b w:val="false"/>
                  <w:bCs w:val="false"/>
                  <w:color w:val="1F4E9A"/>
                  <w:sz w:val="15"/>
                  <w:szCs w:val="15"/>
                  <w:u w:val="single"/>
                </w:rPr>
                <w:t xml:space="preserve">https://tww.law/blog/2026/09/24/informationspflichten-haltbarkeit-updates-reparierbarkeit-2026/</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nur Sekundärquellen; Lieferoptionen und Anknüpfung an Hersteller­daten am 29.09.2026 per Websuche bestätigt</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R6</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Durchführungsverordnung (EU) 2025/1960 vom 25.09.2025 (harmonisierter Hinweis und harmonisiertes Label)</w:t>
            </w:r>
          </w:p>
        </w:tc>
        <w:tc>
          <w:tcPr>
            <w:tcW w:type="dxa" w:w="3469"/>
            <w:shd w:fill="F3F5F7" w:color="auto" w:val="clear"/>
            <w:tcMar>
              <w:top w:type="dxa" w:w="50"/>
              <w:left w:type="dxa" w:w="90"/>
              <w:bottom w:type="dxa" w:w="50"/>
              <w:right w:type="dxa" w:w="90"/>
            </w:tcMar>
            <w:vAlign w:val="top"/>
          </w:tcPr>
          <w:p>
            <w:pPr>
              <w:spacing w:after="30" w:before="0" w:line="252"/>
            </w:pPr>
            <w:hyperlink w:history="1" r:id="rIdbxmv8mprlbrokybnsfos7">
              <w:r>
                <w:rPr>
                  <w:b w:val="false"/>
                  <w:bCs w:val="false"/>
                  <w:color w:val="1F4E9A"/>
                  <w:sz w:val="15"/>
                  <w:szCs w:val="15"/>
                  <w:u w:val="single"/>
                </w:rPr>
                <w:t xml:space="preserve">https://eur-lex.europa.eu/eli/reg_impl/2025/1960/oj/eng</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gesperrt; über RB validiert</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R7</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BT-Drs. 21/1855 (Gesetzentwurf zur UWG-Änderung)</w:t>
            </w:r>
          </w:p>
        </w:tc>
        <w:tc>
          <w:tcPr>
            <w:tcW w:type="dxa" w:w="3469"/>
            <w:tcMar>
              <w:top w:type="dxa" w:w="50"/>
              <w:left w:type="dxa" w:w="90"/>
              <w:bottom w:type="dxa" w:w="50"/>
              <w:right w:type="dxa" w:w="90"/>
            </w:tcMar>
            <w:vAlign w:val="top"/>
          </w:tcPr>
          <w:p>
            <w:pPr>
              <w:spacing w:after="30" w:before="0" w:line="252"/>
            </w:pPr>
            <w:hyperlink w:history="1" r:id="rIdfuvafkjpuu8gil0avl9f9">
              <w:r>
                <w:rPr>
                  <w:b w:val="false"/>
                  <w:bCs w:val="false"/>
                  <w:color w:val="1F4E9A"/>
                  <w:sz w:val="15"/>
                  <w:szCs w:val="15"/>
                  <w:u w:val="single"/>
                </w:rPr>
                <w:t xml:space="preserve">https://dserver.bundestag.de/btd/21/018/2101855.pdf</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gesperrt; über RB</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R8</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 15b UWG: BT-Drs. 21/6215 und Beschlussempfehlung 21/8158</w:t>
            </w:r>
          </w:p>
        </w:tc>
        <w:tc>
          <w:tcPr>
            <w:tcW w:type="dxa" w:w="3469"/>
            <w:shd w:fill="F3F5F7" w:color="auto" w:val="clear"/>
            <w:tcMar>
              <w:top w:type="dxa" w:w="50"/>
              <w:left w:type="dxa" w:w="90"/>
              <w:bottom w:type="dxa" w:w="50"/>
              <w:right w:type="dxa" w:w="90"/>
            </w:tcMar>
            <w:vAlign w:val="top"/>
          </w:tcPr>
          <w:p>
            <w:pPr>
              <w:spacing w:after="30" w:before="0" w:line="252"/>
            </w:pPr>
            <w:hyperlink w:history="1" r:id="rIdo05bu-klphhyf4ceqw3qj">
              <w:r>
                <w:rPr>
                  <w:b w:val="false"/>
                  <w:bCs w:val="false"/>
                  <w:color w:val="1F4E9A"/>
                  <w:sz w:val="15"/>
                  <w:szCs w:val="15"/>
                  <w:u w:val="single"/>
                </w:rPr>
                <w:t xml:space="preserve">https://dserver.bundestag.de/btd/21/062/2106215.pdf</w:t>
              </w:r>
            </w:hyperlink>
            <w:r>
              <w:rPr>
                <w:b w:val="false"/>
                <w:bCs w:val="false"/>
                <w:sz w:val="15"/>
                <w:szCs w:val="15"/>
              </w:rPr>
              <w:t xml:space="preserve">; </w:t>
            </w:r>
            <w:hyperlink w:history="1" r:id="rIdsncnfug7-iciq0zav1lm1">
              <w:r>
                <w:rPr>
                  <w:b w:val="false"/>
                  <w:bCs w:val="false"/>
                  <w:color w:val="1F4E9A"/>
                  <w:sz w:val="15"/>
                  <w:szCs w:val="15"/>
                  <w:u w:val="single"/>
                </w:rPr>
                <w:t xml:space="preserve">https://dserver.bundestag.de/btd/21/081/2108158.pdf</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beschlossen 24.09.2026, nicht in Kraft; Sekundärquellen</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R9</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 91, 93 AktG; § 43 GmbHG</w:t>
            </w:r>
          </w:p>
        </w:tc>
        <w:tc>
          <w:tcPr>
            <w:tcW w:type="dxa" w:w="3469"/>
            <w:tcMar>
              <w:top w:type="dxa" w:w="50"/>
              <w:left w:type="dxa" w:w="90"/>
              <w:bottom w:type="dxa" w:w="50"/>
              <w:right w:type="dxa" w:w="90"/>
            </w:tcMar>
            <w:vAlign w:val="top"/>
          </w:tcPr>
          <w:p>
            <w:pPr>
              <w:spacing w:after="30" w:before="0" w:line="252"/>
            </w:pPr>
            <w:hyperlink w:history="1" r:id="rIdea9hxaktvzveqk_zfxxj4">
              <w:r>
                <w:rPr>
                  <w:b w:val="false"/>
                  <w:bCs w:val="false"/>
                  <w:color w:val="1F4E9A"/>
                  <w:sz w:val="15"/>
                  <w:szCs w:val="15"/>
                  <w:u w:val="single"/>
                </w:rPr>
                <w:t xml:space="preserve">https://www.gesetze-im-internet.de/aktg/__91.html</w:t>
              </w:r>
            </w:hyperlink>
            <w:r>
              <w:rPr>
                <w:b w:val="false"/>
                <w:bCs w:val="false"/>
                <w:sz w:val="15"/>
                <w:szCs w:val="15"/>
              </w:rPr>
              <w:t xml:space="preserve">; </w:t>
            </w:r>
            <w:hyperlink w:history="1" r:id="rIdxeepnva4frjeq-lfvh8b5">
              <w:r>
                <w:rPr>
                  <w:b w:val="false"/>
                  <w:bCs w:val="false"/>
                  <w:color w:val="1F4E9A"/>
                  <w:sz w:val="15"/>
                  <w:szCs w:val="15"/>
                  <w:u w:val="single"/>
                </w:rPr>
                <w:t xml:space="preserve">https://www.gesetze-im-internet.de/gmbhg/__43.html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geltendes Recht; gesperrt, Inhalt bekannt</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R10</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 130 OWiG</w:t>
            </w:r>
          </w:p>
        </w:tc>
        <w:tc>
          <w:tcPr>
            <w:tcW w:type="dxa" w:w="3469"/>
            <w:shd w:fill="F3F5F7" w:color="auto" w:val="clear"/>
            <w:tcMar>
              <w:top w:type="dxa" w:w="50"/>
              <w:left w:type="dxa" w:w="90"/>
              <w:bottom w:type="dxa" w:w="50"/>
              <w:right w:type="dxa" w:w="90"/>
            </w:tcMar>
            <w:vAlign w:val="top"/>
          </w:tcPr>
          <w:p>
            <w:pPr>
              <w:spacing w:after="30" w:before="0" w:line="252"/>
            </w:pPr>
            <w:hyperlink w:history="1" r:id="rId5bu5krukesaoxmgavma3q">
              <w:r>
                <w:rPr>
                  <w:b w:val="false"/>
                  <w:bCs w:val="false"/>
                  <w:color w:val="1F4E9A"/>
                  <w:sz w:val="15"/>
                  <w:szCs w:val="15"/>
                  <w:u w:val="single"/>
                </w:rPr>
                <w:t xml:space="preserve">https://www.gesetze-im-internet.de/owig_1968/__130.html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geltendes Recht</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R11</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 1 StaRUG</w:t>
            </w:r>
          </w:p>
        </w:tc>
        <w:tc>
          <w:tcPr>
            <w:tcW w:type="dxa" w:w="3469"/>
            <w:tcMar>
              <w:top w:type="dxa" w:w="50"/>
              <w:left w:type="dxa" w:w="90"/>
              <w:bottom w:type="dxa" w:w="50"/>
              <w:right w:type="dxa" w:w="90"/>
            </w:tcMar>
            <w:vAlign w:val="top"/>
          </w:tcPr>
          <w:p>
            <w:pPr>
              <w:spacing w:after="30" w:before="0" w:line="252"/>
            </w:pPr>
            <w:hyperlink w:history="1" r:id="rIdjg2walcypvg65wtwgf2-a">
              <w:r>
                <w:rPr>
                  <w:b w:val="false"/>
                  <w:bCs w:val="false"/>
                  <w:color w:val="1F4E9A"/>
                  <w:sz w:val="15"/>
                  <w:szCs w:val="15"/>
                  <w:u w:val="single"/>
                </w:rPr>
                <w:t xml:space="preserve">https://www.gesetze-im-internet.de/starug/__1.html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geltendes Recht</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R12</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Hinweis­geberschutzgesetz (HinSchG), § 2 Abs. 1 Nr. 3 lit. n, § 12</w:t>
            </w:r>
          </w:p>
        </w:tc>
        <w:tc>
          <w:tcPr>
            <w:tcW w:type="dxa" w:w="3469"/>
            <w:shd w:fill="F3F5F7" w:color="auto" w:val="clear"/>
            <w:tcMar>
              <w:top w:type="dxa" w:w="50"/>
              <w:left w:type="dxa" w:w="90"/>
              <w:bottom w:type="dxa" w:w="50"/>
              <w:right w:type="dxa" w:w="90"/>
            </w:tcMar>
            <w:vAlign w:val="top"/>
          </w:tcPr>
          <w:p>
            <w:pPr>
              <w:spacing w:after="30" w:before="0" w:line="252"/>
            </w:pPr>
            <w:hyperlink w:history="1" r:id="rIdm0o40qvpgganfd-7yfwej">
              <w:r>
                <w:rPr>
                  <w:b w:val="false"/>
                  <w:bCs w:val="false"/>
                  <w:color w:val="1F4E9A"/>
                  <w:sz w:val="15"/>
                  <w:szCs w:val="15"/>
                  <w:u w:val="single"/>
                </w:rPr>
                <w:t xml:space="preserve">https://www.gesetze-im-internet.de/hinschg/__2.html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Wortlaut lit. n am 29.09.2026 per Websuche bestätigt</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R13</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LG München I, 10.12.2013 – 5 HK O 1387/10; OLG Nürnberg, 30.03.2022 – 12 U 1520/19</w:t>
            </w:r>
          </w:p>
        </w:tc>
        <w:tc>
          <w:tcPr>
            <w:tcW w:type="dxa" w:w="3469"/>
            <w:tcMar>
              <w:top w:type="dxa" w:w="50"/>
              <w:left w:type="dxa" w:w="90"/>
              <w:bottom w:type="dxa" w:w="50"/>
              <w:right w:type="dxa" w:w="90"/>
            </w:tcMar>
            <w:vAlign w:val="top"/>
          </w:tcPr>
          <w:p>
            <w:pPr>
              <w:spacing w:after="30" w:before="0" w:line="252"/>
            </w:pPr>
            <w:hyperlink w:history="1" r:id="rIdvy30orbdrvw99bn6--s8e">
              <w:r>
                <w:rPr>
                  <w:b w:val="false"/>
                  <w:bCs w:val="false"/>
                  <w:color w:val="1F4E9A"/>
                  <w:sz w:val="15"/>
                  <w:szCs w:val="15"/>
                  <w:u w:val="single"/>
                </w:rPr>
                <w:t xml:space="preserve">https://dejure.org/dienste/vernetzung/rechtsprechung?Text=5+HK+O+1387%2F10</w:t>
              </w:r>
            </w:hyperlink>
            <w:r>
              <w:rPr>
                <w:b w:val="false"/>
                <w:bCs w:val="false"/>
                <w:sz w:val="15"/>
                <w:szCs w:val="15"/>
              </w:rPr>
              <w:t xml:space="preserve">; </w:t>
            </w:r>
            <w:hyperlink w:history="1" r:id="rIdxy-hmqr4u0gg9f2v0fod4">
              <w:r>
                <w:rPr>
                  <w:b w:val="false"/>
                  <w:bCs w:val="false"/>
                  <w:color w:val="1F4E9A"/>
                  <w:sz w:val="15"/>
                  <w:szCs w:val="15"/>
                  <w:u w:val="single"/>
                </w:rPr>
                <w:t xml:space="preserve">https://live.handelsblatt.com/compliance-management-als-sorgfalts-und-leitungspflicht-der-gmbh-geschaeftsfuehrung/</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über Datenbank und Fachbeitrag</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R14</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BGH, 27.06.2024 – I ZR 98/23 („klimaneutral“)</w:t>
            </w:r>
          </w:p>
        </w:tc>
        <w:tc>
          <w:tcPr>
            <w:tcW w:type="dxa" w:w="3469"/>
            <w:shd w:fill="F3F5F7" w:color="auto" w:val="clear"/>
            <w:tcMar>
              <w:top w:type="dxa" w:w="50"/>
              <w:left w:type="dxa" w:w="90"/>
              <w:bottom w:type="dxa" w:w="50"/>
              <w:right w:type="dxa" w:w="90"/>
            </w:tcMar>
            <w:vAlign w:val="top"/>
          </w:tcPr>
          <w:p>
            <w:pPr>
              <w:spacing w:after="30" w:before="0" w:line="252"/>
            </w:pPr>
            <w:hyperlink w:history="1" r:id="rIdur-glae33ngjtqykex8qd">
              <w:r>
                <w:rPr>
                  <w:b w:val="false"/>
                  <w:bCs w:val="false"/>
                  <w:color w:val="1F4E9A"/>
                  <w:sz w:val="15"/>
                  <w:szCs w:val="15"/>
                  <w:u w:val="single"/>
                </w:rPr>
                <w:t xml:space="preserve">https://www.bundesgerichtshof.de/SharedDocs/Pressemitteilungen/DE/2024/2024138.html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Pressemitteilung des BGH</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R15</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Recht auf Reparatur, BGBl. 2026 I Nr. 212</w:t>
            </w:r>
          </w:p>
        </w:tc>
        <w:tc>
          <w:tcPr>
            <w:tcW w:type="dxa" w:w="3469"/>
            <w:tcMar>
              <w:top w:type="dxa" w:w="50"/>
              <w:left w:type="dxa" w:w="90"/>
              <w:bottom w:type="dxa" w:w="50"/>
              <w:right w:type="dxa" w:w="90"/>
            </w:tcMar>
            <w:vAlign w:val="top"/>
          </w:tcPr>
          <w:p>
            <w:pPr>
              <w:spacing w:after="30" w:before="0" w:line="252"/>
            </w:pPr>
            <w:hyperlink w:history="1" r:id="rId7klukx2wxr5l-pu4adzri">
              <w:r>
                <w:rPr>
                  <w:b w:val="false"/>
                  <w:bCs w:val="false"/>
                  <w:color w:val="1F4E9A"/>
                  <w:sz w:val="15"/>
                  <w:szCs w:val="15"/>
                  <w:u w:val="single"/>
                </w:rPr>
                <w:t xml:space="preserve">https://www.recht.bund.de/bgbl/1/2026/212/VO.html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gesperrt; über RB</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R16</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 890 ZPO</w:t>
            </w:r>
          </w:p>
        </w:tc>
        <w:tc>
          <w:tcPr>
            <w:tcW w:type="dxa" w:w="3469"/>
            <w:shd w:fill="F3F5F7" w:color="auto" w:val="clear"/>
            <w:tcMar>
              <w:top w:type="dxa" w:w="50"/>
              <w:left w:type="dxa" w:w="90"/>
              <w:bottom w:type="dxa" w:w="50"/>
              <w:right w:type="dxa" w:w="90"/>
            </w:tcMar>
            <w:vAlign w:val="top"/>
          </w:tcPr>
          <w:p>
            <w:pPr>
              <w:spacing w:after="30" w:before="0" w:line="252"/>
            </w:pPr>
            <w:hyperlink w:history="1" r:id="rIdxxct76c2tspc6wnrb44kn">
              <w:r>
                <w:rPr>
                  <w:b w:val="false"/>
                  <w:bCs w:val="false"/>
                  <w:color w:val="1F4E9A"/>
                  <w:sz w:val="15"/>
                  <w:szCs w:val="15"/>
                  <w:u w:val="single"/>
                </w:rPr>
                <w:t xml:space="preserve">https://www.gesetze-im-internet.de/zpo/__890.html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geltendes Recht</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R17</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 289 HGB</w:t>
            </w:r>
          </w:p>
        </w:tc>
        <w:tc>
          <w:tcPr>
            <w:tcW w:type="dxa" w:w="3469"/>
            <w:tcMar>
              <w:top w:type="dxa" w:w="50"/>
              <w:left w:type="dxa" w:w="90"/>
              <w:bottom w:type="dxa" w:w="50"/>
              <w:right w:type="dxa" w:w="90"/>
            </w:tcMar>
            <w:vAlign w:val="top"/>
          </w:tcPr>
          <w:p>
            <w:pPr>
              <w:spacing w:after="30" w:before="0" w:line="252"/>
            </w:pPr>
            <w:hyperlink w:history="1" r:id="rIdrmehgpoiucvdjhoowgmmo">
              <w:r>
                <w:rPr>
                  <w:b w:val="false"/>
                  <w:bCs w:val="false"/>
                  <w:color w:val="1F4E9A"/>
                  <w:sz w:val="15"/>
                  <w:szCs w:val="15"/>
                  <w:u w:val="single"/>
                </w:rPr>
                <w:t xml:space="preserve">https://www.gesetze-im-internet.de/hgb/__289.html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geltendes Recht</w:t>
            </w:r>
          </w:p>
        </w:tc>
      </w:tr>
      <w:tr>
        <w:trPr>
          <w:cantSplit/>
        </w:trPr>
        <w:tc>
          <w:tcPr>
            <w:tcW w:type="dxa" w:w="9638"/>
            <w:gridSpan w:val="4"/>
            <w:shd w:fill="DCE9E6" w:color="auto" w:val="clear"/>
            <w:tcMar>
              <w:top w:type="dxa" w:w="50"/>
              <w:left w:type="dxa" w:w="90"/>
              <w:bottom w:type="dxa" w:w="50"/>
              <w:right w:type="dxa" w:w="90"/>
            </w:tcMar>
            <w:vAlign w:val="top"/>
          </w:tcPr>
          <w:p>
            <w:pPr>
              <w:spacing w:after="30" w:before="0" w:line="252"/>
            </w:pPr>
            <w:r>
              <w:rPr>
                <w:b/>
                <w:bCs/>
                <w:color w:val="13233A"/>
                <w:sz w:val="15"/>
                <w:szCs w:val="15"/>
              </w:rPr>
              <w:t xml:space="preserve">Behörden und offizielle Leitlinien</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B1</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Europäische Kommission: Q&amp;A zur Richtlinie (EU) 2024/825, 27.11.2025, aktualisiert 18.05.2026</w:t>
            </w:r>
          </w:p>
        </w:tc>
        <w:tc>
          <w:tcPr>
            <w:tcW w:type="dxa" w:w="3469"/>
            <w:tcMar>
              <w:top w:type="dxa" w:w="50"/>
              <w:left w:type="dxa" w:w="90"/>
              <w:bottom w:type="dxa" w:w="50"/>
              <w:right w:type="dxa" w:w="90"/>
            </w:tcMar>
            <w:vAlign w:val="top"/>
          </w:tcPr>
          <w:p>
            <w:pPr>
              <w:spacing w:after="30" w:before="0" w:line="252"/>
            </w:pPr>
            <w:hyperlink w:history="1" r:id="rIdpxvqstfdyqhmpg-sb8uqt">
              <w:r>
                <w:rPr>
                  <w:b w:val="false"/>
                  <w:bCs w:val="false"/>
                  <w:color w:val="1F4E9A"/>
                  <w:sz w:val="15"/>
                  <w:szCs w:val="15"/>
                  <w:u w:val="single"/>
                </w:rPr>
                <w:t xml:space="preserve">https://commission.europa.eu/document/download/3c257883-bb2a-4dd9-a6dc-501d587bb34f_en?filename=faq-empowerting-consumers-gtd.pdf</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gesperrt; Inhalt über RB und Sekundärquellen; nicht bindend</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B2</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Europäische Kommission: Leitlinien zur UGP-RL, ABl. C 526 vom 29.12.2021</w:t>
            </w:r>
          </w:p>
        </w:tc>
        <w:tc>
          <w:tcPr>
            <w:tcW w:type="dxa" w:w="3469"/>
            <w:shd w:fill="F3F5F7" w:color="auto" w:val="clear"/>
            <w:tcMar>
              <w:top w:type="dxa" w:w="50"/>
              <w:left w:type="dxa" w:w="90"/>
              <w:bottom w:type="dxa" w:w="50"/>
              <w:right w:type="dxa" w:w="90"/>
            </w:tcMar>
            <w:vAlign w:val="top"/>
          </w:tcPr>
          <w:p>
            <w:pPr>
              <w:spacing w:after="30" w:before="0" w:line="252"/>
            </w:pPr>
            <w:hyperlink w:history="1" r:id="rIdeq7bkz0glfu0hzctslbnd">
              <w:r>
                <w:rPr>
                  <w:b w:val="false"/>
                  <w:bCs w:val="false"/>
                  <w:color w:val="1F4E9A"/>
                  <w:sz w:val="15"/>
                  <w:szCs w:val="15"/>
                  <w:u w:val="single"/>
                </w:rPr>
                <w:t xml:space="preserve">https://eur-lex.europa.eu/legal-content/DE/TXT/?uri=CELEX:52021XC1229(05)</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gesperrt; nicht bindend</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B3</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CPC-Netzwerk: Common Understanding zu Altbeständen („old stock“), 30.06.2026</w:t>
            </w:r>
          </w:p>
        </w:tc>
        <w:tc>
          <w:tcPr>
            <w:tcW w:type="dxa" w:w="3469"/>
            <w:tcMar>
              <w:top w:type="dxa" w:w="50"/>
              <w:left w:type="dxa" w:w="90"/>
              <w:bottom w:type="dxa" w:w="50"/>
              <w:right w:type="dxa" w:w="90"/>
            </w:tcMar>
            <w:vAlign w:val="top"/>
          </w:tcPr>
          <w:p>
            <w:pPr>
              <w:spacing w:after="30" w:before="0" w:line="252"/>
            </w:pPr>
            <w:hyperlink w:history="1" r:id="rIdeee_rkqzqzdfrewzr5vrd">
              <w:r>
                <w:rPr>
                  <w:b w:val="false"/>
                  <w:bCs w:val="false"/>
                  <w:color w:val="1F4E9A"/>
                  <w:sz w:val="15"/>
                  <w:szCs w:val="15"/>
                  <w:u w:val="single"/>
                </w:rPr>
                <w:t xml:space="preserve">https://commission.europa.eu/document/download/264d8c70-2f9a-4955-8e7b-154d55a9b684_en?filename=Final+CPC+common+understanding+on+old+stock+situations+June+2026.pdf</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gesperrt; über RB; richtet sich an Behörden</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B4</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IDW: Muster­vermerke zur Prüfung von Umsetzungsplänen für künftige Umweltleistungen (22.09.2026); Fragen und Antworten (10.09.2026)</w:t>
            </w:r>
          </w:p>
        </w:tc>
        <w:tc>
          <w:tcPr>
            <w:tcW w:type="dxa" w:w="3469"/>
            <w:shd w:fill="F3F5F7" w:color="auto" w:val="clear"/>
            <w:tcMar>
              <w:top w:type="dxa" w:w="50"/>
              <w:left w:type="dxa" w:w="90"/>
              <w:bottom w:type="dxa" w:w="50"/>
              <w:right w:type="dxa" w:w="90"/>
            </w:tcMar>
            <w:vAlign w:val="top"/>
          </w:tcPr>
          <w:p>
            <w:pPr>
              <w:spacing w:after="30" w:before="0" w:line="252"/>
            </w:pPr>
            <w:hyperlink w:history="1" r:id="rIdp5w9ulx6tofyffre24sty">
              <w:r>
                <w:rPr>
                  <w:b w:val="false"/>
                  <w:bCs w:val="false"/>
                  <w:color w:val="1F4E9A"/>
                  <w:sz w:val="15"/>
                  <w:szCs w:val="15"/>
                  <w:u w:val="single"/>
                </w:rPr>
                <w:t xml:space="preserve">https://www.idw.de/news/idw-veroeffentlicht-mustervermerke-zur-pruefung-von-umsetzungsplaenen-fuer-kuenftige-umweltleistungen.html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Veröffentlichung des Standardsetzers</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B5</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Deutscher Corporate Governance Kodex 2022</w:t>
            </w:r>
          </w:p>
        </w:tc>
        <w:tc>
          <w:tcPr>
            <w:tcW w:type="dxa" w:w="3469"/>
            <w:tcMar>
              <w:top w:type="dxa" w:w="50"/>
              <w:left w:type="dxa" w:w="90"/>
              <w:bottom w:type="dxa" w:w="50"/>
              <w:right w:type="dxa" w:w="90"/>
            </w:tcMar>
            <w:vAlign w:val="top"/>
          </w:tcPr>
          <w:p>
            <w:pPr>
              <w:spacing w:after="30" w:before="0" w:line="252"/>
            </w:pPr>
            <w:hyperlink w:history="1" r:id="rId1ksps_4xxajxqumikgxum">
              <w:r>
                <w:rPr>
                  <w:b w:val="false"/>
                  <w:bCs w:val="false"/>
                  <w:color w:val="1F4E9A"/>
                  <w:sz w:val="15"/>
                  <w:szCs w:val="15"/>
                  <w:u w:val="single"/>
                </w:rPr>
                <w:t xml:space="preserve">https://www.dcgk.de/files/dcgk/usercontent/de/download/kodex/220517_Deutscher_Corporate_Governance_Kodex_2022.pdf</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Wortlaut A.3 am 29.09.2026 per Websuche bestätigt</w:t>
            </w:r>
          </w:p>
        </w:tc>
      </w:tr>
      <w:tr>
        <w:trPr>
          <w:cantSplit/>
        </w:trPr>
        <w:tc>
          <w:tcPr>
            <w:tcW w:type="dxa" w:w="9638"/>
            <w:gridSpan w:val="4"/>
            <w:shd w:fill="DCE9E6" w:color="auto" w:val="clear"/>
            <w:tcMar>
              <w:top w:type="dxa" w:w="50"/>
              <w:left w:type="dxa" w:w="90"/>
              <w:bottom w:type="dxa" w:w="50"/>
              <w:right w:type="dxa" w:w="90"/>
            </w:tcMar>
            <w:vAlign w:val="top"/>
          </w:tcPr>
          <w:p>
            <w:pPr>
              <w:spacing w:after="30" w:before="0" w:line="252"/>
            </w:pPr>
            <w:r>
              <w:rPr>
                <w:b/>
                <w:bCs/>
                <w:color w:val="13233A"/>
                <w:sz w:val="15"/>
                <w:szCs w:val="15"/>
              </w:rPr>
              <w:t xml:space="preserve">Standards</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S1</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IDW PS 980 n. F. (09.2022): Prüfung von Compliance-Management-Systemen</w:t>
            </w:r>
          </w:p>
        </w:tc>
        <w:tc>
          <w:tcPr>
            <w:tcW w:type="dxa" w:w="3469"/>
            <w:tcMar>
              <w:top w:type="dxa" w:w="50"/>
              <w:left w:type="dxa" w:w="90"/>
              <w:bottom w:type="dxa" w:w="50"/>
              <w:right w:type="dxa" w:w="90"/>
            </w:tcMar>
            <w:vAlign w:val="top"/>
          </w:tcPr>
          <w:p>
            <w:pPr>
              <w:spacing w:after="30" w:before="0" w:line="252"/>
            </w:pPr>
            <w:hyperlink w:history="1" r:id="rIdwsdfjy2parv3nvcg2_rci">
              <w:r>
                <w:rPr>
                  <w:b w:val="false"/>
                  <w:bCs w:val="false"/>
                  <w:color w:val="1F4E9A"/>
                  <w:sz w:val="15"/>
                  <w:szCs w:val="15"/>
                  <w:u w:val="single"/>
                </w:rPr>
                <w:t xml:space="preserve">https://www.idw.de/idw/idw-aktuell/idw-ps-980-n-f-09-2022-zur-pruefung-von-compliance-management-systemen-verab-schiedet.html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kosten­pflichtig; Struktur nach IDW-Mitteilung und Fachbeiträgen</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S2</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IDW PS 981: Prüfung von Risiko­management­systemen</w:t>
            </w:r>
          </w:p>
        </w:tc>
        <w:tc>
          <w:tcPr>
            <w:tcW w:type="dxa" w:w="3469"/>
            <w:shd w:fill="F3F5F7" w:color="auto" w:val="clear"/>
            <w:tcMar>
              <w:top w:type="dxa" w:w="50"/>
              <w:left w:type="dxa" w:w="90"/>
              <w:bottom w:type="dxa" w:w="50"/>
              <w:right w:type="dxa" w:w="90"/>
            </w:tcMar>
            <w:vAlign w:val="top"/>
          </w:tcPr>
          <w:p>
            <w:pPr>
              <w:spacing w:after="30" w:before="0" w:line="252"/>
            </w:pPr>
            <w:hyperlink w:history="1" r:id="rIdz3ugrtnf7ftqf8pef2td2">
              <w:r>
                <w:rPr>
                  <w:b w:val="false"/>
                  <w:bCs w:val="false"/>
                  <w:color w:val="1F4E9A"/>
                  <w:sz w:val="15"/>
                  <w:szCs w:val="15"/>
                  <w:u w:val="single"/>
                </w:rPr>
                <w:t xml:space="preserve">https://www.deloitte.com/de/de/services/audit-assurance/perspectives/idw-ps-981-pruefung-rms-risikomanagementsystem.html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kosten­pflichtig; Struktur nach Deloitte</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S3</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IDW PS 982: Prüfung des IKS des internen und externen Berichtswesens</w:t>
            </w:r>
          </w:p>
        </w:tc>
        <w:tc>
          <w:tcPr>
            <w:tcW w:type="dxa" w:w="3469"/>
            <w:tcMar>
              <w:top w:type="dxa" w:w="50"/>
              <w:left w:type="dxa" w:w="90"/>
              <w:bottom w:type="dxa" w:w="50"/>
              <w:right w:type="dxa" w:w="90"/>
            </w:tcMar>
            <w:vAlign w:val="top"/>
          </w:tcPr>
          <w:p>
            <w:pPr>
              <w:spacing w:after="30" w:before="0" w:line="252"/>
            </w:pPr>
            <w:hyperlink w:history="1" r:id="rIdqrqoqri2qr5uxzol09ek9">
              <w:r>
                <w:rPr>
                  <w:b w:val="false"/>
                  <w:bCs w:val="false"/>
                  <w:color w:val="1F4E9A"/>
                  <w:sz w:val="15"/>
                  <w:szCs w:val="15"/>
                  <w:u w:val="single"/>
                </w:rPr>
                <w:t xml:space="preserve">https://www.bdo.de/de-de/services/audit-assurance/forensic-risk-compliance/internes-kontrollsystem-und-risikomanagement/prufung-von-internen-kontrollsystemen-nach-idw-ps-982</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kosten­pflichtig; nach BDO</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S4</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ISO 37301:2021 Compliance management systems</w:t>
            </w:r>
          </w:p>
        </w:tc>
        <w:tc>
          <w:tcPr>
            <w:tcW w:type="dxa" w:w="3469"/>
            <w:shd w:fill="F3F5F7" w:color="auto" w:val="clear"/>
            <w:tcMar>
              <w:top w:type="dxa" w:w="50"/>
              <w:left w:type="dxa" w:w="90"/>
              <w:bottom w:type="dxa" w:w="50"/>
              <w:right w:type="dxa" w:w="90"/>
            </w:tcMar>
            <w:vAlign w:val="top"/>
          </w:tcPr>
          <w:p>
            <w:pPr>
              <w:spacing w:after="30" w:before="0" w:line="252"/>
            </w:pPr>
            <w:hyperlink w:history="1" r:id="rIdk_ebp-coe6kyvyhnktzm2">
              <w:r>
                <w:rPr>
                  <w:b w:val="false"/>
                  <w:bCs w:val="false"/>
                  <w:color w:val="1F4E9A"/>
                  <w:sz w:val="15"/>
                  <w:szCs w:val="15"/>
                  <w:u w:val="single"/>
                </w:rPr>
                <w:t xml:space="preserve">https://www.iso.org/standard/75080.html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kosten­pflichtig; Normbeschreibung ISO</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S5</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ISO 31000:2018 Risk management – Guidelines</w:t>
            </w:r>
          </w:p>
        </w:tc>
        <w:tc>
          <w:tcPr>
            <w:tcW w:type="dxa" w:w="3469"/>
            <w:tcMar>
              <w:top w:type="dxa" w:w="50"/>
              <w:left w:type="dxa" w:w="90"/>
              <w:bottom w:type="dxa" w:w="50"/>
              <w:right w:type="dxa" w:w="90"/>
            </w:tcMar>
            <w:vAlign w:val="top"/>
          </w:tcPr>
          <w:p>
            <w:pPr>
              <w:spacing w:after="30" w:before="0" w:line="252"/>
            </w:pPr>
            <w:hyperlink w:history="1" r:id="rIdmsmcjm1kvnseay_r5kjjz">
              <w:r>
                <w:rPr>
                  <w:b w:val="false"/>
                  <w:bCs w:val="false"/>
                  <w:color w:val="1F4E9A"/>
                  <w:sz w:val="15"/>
                  <w:szCs w:val="15"/>
                  <w:u w:val="single"/>
                </w:rPr>
                <w:t xml:space="preserve">https://www.iso.org/standard/65694.html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kosten­pflichtig; acht Grundsätze am 29.09.2026 per Websuche bestätigt</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S6</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COSO: Enterprise Risk Management – Integrating with Strategy and Performance (2017)</w:t>
            </w:r>
          </w:p>
        </w:tc>
        <w:tc>
          <w:tcPr>
            <w:tcW w:type="dxa" w:w="3469"/>
            <w:shd w:fill="F3F5F7" w:color="auto" w:val="clear"/>
            <w:tcMar>
              <w:top w:type="dxa" w:w="50"/>
              <w:left w:type="dxa" w:w="90"/>
              <w:bottom w:type="dxa" w:w="50"/>
              <w:right w:type="dxa" w:w="90"/>
            </w:tcMar>
            <w:vAlign w:val="top"/>
          </w:tcPr>
          <w:p>
            <w:pPr>
              <w:spacing w:after="30" w:before="0" w:line="252"/>
            </w:pPr>
            <w:hyperlink w:history="1" r:id="rIdurjfwze7ckv8lnhsybyiw">
              <w:r>
                <w:rPr>
                  <w:b w:val="false"/>
                  <w:bCs w:val="false"/>
                  <w:color w:val="1F4E9A"/>
                  <w:sz w:val="15"/>
                  <w:szCs w:val="15"/>
                  <w:u w:val="single"/>
                </w:rPr>
                <w:t xml:space="preserve">https://www.theiia.org/en/products/bookstore/coso-enterprise-risk-management---integrating-with-strategy-and-performance/</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kosten­pflichtig; Beschreibung des Herausgebers</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S7</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COSO: Internal Control – Integrated Framework (2013)</w:t>
            </w:r>
          </w:p>
        </w:tc>
        <w:tc>
          <w:tcPr>
            <w:tcW w:type="dxa" w:w="3469"/>
            <w:tcMar>
              <w:top w:type="dxa" w:w="50"/>
              <w:left w:type="dxa" w:w="90"/>
              <w:bottom w:type="dxa" w:w="50"/>
              <w:right w:type="dxa" w:w="90"/>
            </w:tcMar>
            <w:vAlign w:val="top"/>
          </w:tcPr>
          <w:p>
            <w:pPr>
              <w:spacing w:after="30" w:before="0" w:line="252"/>
            </w:pPr>
            <w:hyperlink w:history="1" r:id="rIdb1ui9hjtsmezls0q0m5xd">
              <w:r>
                <w:rPr>
                  <w:b w:val="false"/>
                  <w:bCs w:val="false"/>
                  <w:color w:val="1F4E9A"/>
                  <w:sz w:val="15"/>
                  <w:szCs w:val="15"/>
                  <w:u w:val="single"/>
                </w:rPr>
                <w:t xml:space="preserve">https://www.theiia.org/en/products/bookstore/coso---internal-control--integrated-framework-2013-framework/</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kosten­pflichtig; Beschreibung des Herausgebers</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S8</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COSO: Achieving Effective Internal Control over Sustainability Reporting (ICSR), 2023</w:t>
            </w:r>
          </w:p>
        </w:tc>
        <w:tc>
          <w:tcPr>
            <w:tcW w:type="dxa" w:w="3469"/>
            <w:shd w:fill="F3F5F7" w:color="auto" w:val="clear"/>
            <w:tcMar>
              <w:top w:type="dxa" w:w="50"/>
              <w:left w:type="dxa" w:w="90"/>
              <w:bottom w:type="dxa" w:w="50"/>
              <w:right w:type="dxa" w:w="90"/>
            </w:tcMar>
            <w:vAlign w:val="top"/>
          </w:tcPr>
          <w:p>
            <w:pPr>
              <w:spacing w:after="30" w:before="0" w:line="252"/>
            </w:pPr>
            <w:hyperlink w:history="1" r:id="rIdrka0_h31suajqqr0imrpz">
              <w:r>
                <w:rPr>
                  <w:b w:val="false"/>
                  <w:bCs w:val="false"/>
                  <w:color w:val="1F4E9A"/>
                  <w:sz w:val="15"/>
                  <w:szCs w:val="15"/>
                  <w:u w:val="single"/>
                </w:rPr>
                <w:t xml:space="preserve">https://www.coso.org/guidance-on-ic</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frei verfügbar; Beschreibung des Herausgebers</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S9</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IIA: The IIA’s Three Lines Model (2020)</w:t>
            </w:r>
          </w:p>
        </w:tc>
        <w:tc>
          <w:tcPr>
            <w:tcW w:type="dxa" w:w="3469"/>
            <w:tcMar>
              <w:top w:type="dxa" w:w="50"/>
              <w:left w:type="dxa" w:w="90"/>
              <w:bottom w:type="dxa" w:w="50"/>
              <w:right w:type="dxa" w:w="90"/>
            </w:tcMar>
            <w:vAlign w:val="top"/>
          </w:tcPr>
          <w:p>
            <w:pPr>
              <w:spacing w:after="30" w:before="0" w:line="252"/>
            </w:pPr>
            <w:hyperlink w:history="1" r:id="rIdrtpwa642j9dgh8mjfadz9">
              <w:r>
                <w:rPr>
                  <w:b w:val="false"/>
                  <w:bCs w:val="false"/>
                  <w:color w:val="1F4E9A"/>
                  <w:sz w:val="15"/>
                  <w:szCs w:val="15"/>
                  <w:u w:val="single"/>
                </w:rPr>
                <w:t xml:space="preserve">https://www.theiia.org/globalassets/documents/resources/the-iias-three-lines-model-an-update-of-the-three-lines-of-defense-july-2020/three-lines-model-updated-english.pdf</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frei verfügbar</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S10</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ISO 14001:2015 Umwelt­management­systeme</w:t>
            </w:r>
          </w:p>
        </w:tc>
        <w:tc>
          <w:tcPr>
            <w:tcW w:type="dxa" w:w="3469"/>
            <w:shd w:fill="F3F5F7" w:color="auto" w:val="clear"/>
            <w:tcMar>
              <w:top w:type="dxa" w:w="50"/>
              <w:left w:type="dxa" w:w="90"/>
              <w:bottom w:type="dxa" w:w="50"/>
              <w:right w:type="dxa" w:w="90"/>
            </w:tcMar>
            <w:vAlign w:val="top"/>
          </w:tcPr>
          <w:p>
            <w:pPr>
              <w:spacing w:after="30" w:before="0" w:line="252"/>
            </w:pPr>
            <w:hyperlink w:history="1" r:id="rIdlzkrm6essqkhptha7xury">
              <w:r>
                <w:rPr>
                  <w:b w:val="false"/>
                  <w:bCs w:val="false"/>
                  <w:color w:val="1F4E9A"/>
                  <w:sz w:val="15"/>
                  <w:szCs w:val="15"/>
                  <w:u w:val="single"/>
                </w:rPr>
                <w:t xml:space="preserve">https://www.iso.org/standard/60857.html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kosten­pflichtig; Abschnitt 7.4.1 nach RB</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S11</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DICO: Risiko­katalog 2024</w:t>
            </w:r>
          </w:p>
        </w:tc>
        <w:tc>
          <w:tcPr>
            <w:tcW w:type="dxa" w:w="3469"/>
            <w:tcMar>
              <w:top w:type="dxa" w:w="50"/>
              <w:left w:type="dxa" w:w="90"/>
              <w:bottom w:type="dxa" w:w="50"/>
              <w:right w:type="dxa" w:w="90"/>
            </w:tcMar>
            <w:vAlign w:val="top"/>
          </w:tcPr>
          <w:p>
            <w:pPr>
              <w:spacing w:after="30" w:before="0" w:line="252"/>
            </w:pPr>
            <w:hyperlink w:history="1" r:id="rIdci64vmi2estjarc6tlwcf">
              <w:r>
                <w:rPr>
                  <w:b w:val="false"/>
                  <w:bCs w:val="false"/>
                  <w:color w:val="1F4E9A"/>
                  <w:sz w:val="15"/>
                  <w:szCs w:val="15"/>
                  <w:u w:val="single"/>
                </w:rPr>
                <w:t xml:space="preserve">https://www.dico-ev.de/risikokatalog-2024/</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Verbands­veröffentlichung</w:t>
            </w:r>
          </w:p>
        </w:tc>
      </w:tr>
      <w:tr>
        <w:trPr>
          <w:cantSplit/>
        </w:trPr>
        <w:tc>
          <w:tcPr>
            <w:tcW w:type="dxa" w:w="9638"/>
            <w:gridSpan w:val="4"/>
            <w:shd w:fill="DCE9E6" w:color="auto" w:val="clear"/>
            <w:tcMar>
              <w:top w:type="dxa" w:w="50"/>
              <w:left w:type="dxa" w:w="90"/>
              <w:bottom w:type="dxa" w:w="50"/>
              <w:right w:type="dxa" w:w="90"/>
            </w:tcMar>
            <w:vAlign w:val="top"/>
          </w:tcPr>
          <w:p>
            <w:pPr>
              <w:spacing w:after="30" w:before="0" w:line="252"/>
            </w:pPr>
            <w:r>
              <w:rPr>
                <w:b/>
                <w:bCs/>
                <w:color w:val="13233A"/>
                <w:sz w:val="15"/>
                <w:szCs w:val="15"/>
              </w:rPr>
              <w:t xml:space="preserve">Literatur und Praxis­veröffentlichungen</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L1</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EY (Pyrcek): With EmpCo, greenwashing moves from reputation risk to compliance risk, Corporate Compliance Insights</w:t>
            </w:r>
          </w:p>
        </w:tc>
        <w:tc>
          <w:tcPr>
            <w:tcW w:type="dxa" w:w="3469"/>
            <w:tcMar>
              <w:top w:type="dxa" w:w="50"/>
              <w:left w:type="dxa" w:w="90"/>
              <w:bottom w:type="dxa" w:w="50"/>
              <w:right w:type="dxa" w:w="90"/>
            </w:tcMar>
            <w:vAlign w:val="top"/>
          </w:tcPr>
          <w:p>
            <w:pPr>
              <w:spacing w:after="30" w:before="0" w:line="252"/>
            </w:pPr>
            <w:hyperlink w:history="1" r:id="rId1xujatqweioqfgaim2lb5">
              <w:r>
                <w:rPr>
                  <w:b w:val="false"/>
                  <w:bCs w:val="false"/>
                  <w:color w:val="1F4E9A"/>
                  <w:sz w:val="15"/>
                  <w:szCs w:val="15"/>
                  <w:u w:val="single"/>
                </w:rPr>
                <w:t xml:space="preserve">https://www.corporatecomplianceinsights.com/with-empco-greenwashing-moves-from-reputation-risk-ccompliance-risk/</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Fachbeitrag</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L2</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Forvis Mazars: Rechts­risiken durch Greenwashing wachsen</w:t>
            </w:r>
          </w:p>
        </w:tc>
        <w:tc>
          <w:tcPr>
            <w:tcW w:type="dxa" w:w="3469"/>
            <w:shd w:fill="F3F5F7" w:color="auto" w:val="clear"/>
            <w:tcMar>
              <w:top w:type="dxa" w:w="50"/>
              <w:left w:type="dxa" w:w="90"/>
              <w:bottom w:type="dxa" w:w="50"/>
              <w:right w:type="dxa" w:w="90"/>
            </w:tcMar>
            <w:vAlign w:val="top"/>
          </w:tcPr>
          <w:p>
            <w:pPr>
              <w:spacing w:after="30" w:before="0" w:line="252"/>
            </w:pPr>
            <w:hyperlink w:history="1" r:id="rIdgj6r6qwe2vl_rxojprxt4">
              <w:r>
                <w:rPr>
                  <w:b w:val="false"/>
                  <w:bCs w:val="false"/>
                  <w:color w:val="1F4E9A"/>
                  <w:sz w:val="15"/>
                  <w:szCs w:val="15"/>
                  <w:u w:val="single"/>
                </w:rPr>
                <w:t xml:space="preserve">https://www.forvismazars.com/de/de/services/sustainability/rechtsrisiken-durch-greenwashing-wachsen</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Veröffentlichung einer WP-Gesellschaft</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L3</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PwC: Green Claims – Stresstest für die Governance</w:t>
            </w:r>
          </w:p>
        </w:tc>
        <w:tc>
          <w:tcPr>
            <w:tcW w:type="dxa" w:w="3469"/>
            <w:tcMar>
              <w:top w:type="dxa" w:w="50"/>
              <w:left w:type="dxa" w:w="90"/>
              <w:bottom w:type="dxa" w:w="50"/>
              <w:right w:type="dxa" w:w="90"/>
            </w:tcMar>
            <w:vAlign w:val="top"/>
          </w:tcPr>
          <w:p>
            <w:pPr>
              <w:spacing w:after="30" w:before="0" w:line="252"/>
            </w:pPr>
            <w:hyperlink w:history="1" r:id="rId1kcjqvjio7ig9pvgmidbj">
              <w:r>
                <w:rPr>
                  <w:b w:val="false"/>
                  <w:bCs w:val="false"/>
                  <w:color w:val="1F4E9A"/>
                  <w:sz w:val="15"/>
                  <w:szCs w:val="15"/>
                  <w:u w:val="single"/>
                </w:rPr>
                <w:t xml:space="preserve">https://www.pwc.de/de/nachhaltigkeit/green-claims-stresstest-fuer-die-governance.html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Veröffentlichung einer WP-Gesellschaft</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L4</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Deloitte Österreich: EU-Greenwashing-Richtlinie</w:t>
            </w:r>
          </w:p>
        </w:tc>
        <w:tc>
          <w:tcPr>
            <w:tcW w:type="dxa" w:w="3469"/>
            <w:shd w:fill="F3F5F7" w:color="auto" w:val="clear"/>
            <w:tcMar>
              <w:top w:type="dxa" w:w="50"/>
              <w:left w:type="dxa" w:w="90"/>
              <w:bottom w:type="dxa" w:w="50"/>
              <w:right w:type="dxa" w:w="90"/>
            </w:tcMar>
            <w:vAlign w:val="top"/>
          </w:tcPr>
          <w:p>
            <w:pPr>
              <w:spacing w:after="30" w:before="0" w:line="252"/>
            </w:pPr>
            <w:hyperlink w:history="1" r:id="rIdqoszrodi8lozwu8pkqcdm">
              <w:r>
                <w:rPr>
                  <w:b w:val="false"/>
                  <w:bCs w:val="false"/>
                  <w:color w:val="1F4E9A"/>
                  <w:sz w:val="15"/>
                  <w:szCs w:val="15"/>
                  <w:u w:val="single"/>
                </w:rPr>
                <w:t xml:space="preserve">https://www.deloitte.com/at/de/services/consulting/services/eu-greenwashing-directive.html</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Veröffentlichung einer WP-Gesellschaft</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L5</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Grant Thornton Österreich: EmpCo und Green-Claims-Compliance</w:t>
            </w:r>
          </w:p>
        </w:tc>
        <w:tc>
          <w:tcPr>
            <w:tcW w:type="dxa" w:w="3469"/>
            <w:tcMar>
              <w:top w:type="dxa" w:w="50"/>
              <w:left w:type="dxa" w:w="90"/>
              <w:bottom w:type="dxa" w:w="50"/>
              <w:right w:type="dxa" w:w="90"/>
            </w:tcMar>
            <w:vAlign w:val="top"/>
          </w:tcPr>
          <w:p>
            <w:pPr>
              <w:spacing w:after="30" w:before="0" w:line="252"/>
            </w:pPr>
            <w:hyperlink w:history="1" r:id="rId8bu4yldzae1n5yzurmfr3">
              <w:r>
                <w:rPr>
                  <w:b w:val="false"/>
                  <w:bCs w:val="false"/>
                  <w:color w:val="1F4E9A"/>
                  <w:sz w:val="15"/>
                  <w:szCs w:val="15"/>
                  <w:u w:val="single"/>
                </w:rPr>
                <w:t xml:space="preserve">https://www.grantthornton.at/services/advisory/sustainability-services/empco-green-claims-compliance/</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Veröffentlichung einer WP-Gesellschaft</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L6</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Rödl &amp; Partner: EmpCo – neue Regelungen für Umwelt­aussagen</w:t>
            </w:r>
          </w:p>
        </w:tc>
        <w:tc>
          <w:tcPr>
            <w:tcW w:type="dxa" w:w="3469"/>
            <w:shd w:fill="F3F5F7" w:color="auto" w:val="clear"/>
            <w:tcMar>
              <w:top w:type="dxa" w:w="50"/>
              <w:left w:type="dxa" w:w="90"/>
              <w:bottom w:type="dxa" w:w="50"/>
              <w:right w:type="dxa" w:w="90"/>
            </w:tcMar>
            <w:vAlign w:val="top"/>
          </w:tcPr>
          <w:p>
            <w:pPr>
              <w:spacing w:after="30" w:before="0" w:line="252"/>
            </w:pPr>
            <w:hyperlink w:history="1" r:id="rId7wem955lo4vg8_bwjcuhc">
              <w:r>
                <w:rPr>
                  <w:b w:val="false"/>
                  <w:bCs w:val="false"/>
                  <w:color w:val="1F4E9A"/>
                  <w:sz w:val="15"/>
                  <w:szCs w:val="15"/>
                  <w:u w:val="single"/>
                </w:rPr>
                <w:t xml:space="preserve">https://www.roedl.com/insights/empco-neue-regelungen-fuer-umweltaussagen/</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Veröffentlichung einer WP-Gesellschaft</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L7</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Haufe: Green Claims – vom Rechtscheck zum dauerhaften Prüfprozess</w:t>
            </w:r>
          </w:p>
        </w:tc>
        <w:tc>
          <w:tcPr>
            <w:tcW w:type="dxa" w:w="3469"/>
            <w:tcMar>
              <w:top w:type="dxa" w:w="50"/>
              <w:left w:type="dxa" w:w="90"/>
              <w:bottom w:type="dxa" w:w="50"/>
              <w:right w:type="dxa" w:w="90"/>
            </w:tcMar>
            <w:vAlign w:val="top"/>
          </w:tcPr>
          <w:p>
            <w:pPr>
              <w:spacing w:after="30" w:before="0" w:line="252"/>
            </w:pPr>
            <w:hyperlink w:history="1" r:id="rId_xjl1kwbtcm__g2qkr_uz">
              <w:r>
                <w:rPr>
                  <w:b w:val="false"/>
                  <w:bCs w:val="false"/>
                  <w:color w:val="1F4E9A"/>
                  <w:sz w:val="15"/>
                  <w:szCs w:val="15"/>
                  <w:u w:val="single"/>
                </w:rPr>
                <w:t xml:space="preserve">https://www.haufe.de/sustainability/strategie/green-claims-vom-rechtscheck-zum-dauerhaften-pruefprozess_575772_698090.html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Fachmedium</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L8</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tww.law: Informations­pflichten zu Haltbarkeit, Updates und Reparierbarkeit (24.09.2026)</w:t>
            </w:r>
          </w:p>
        </w:tc>
        <w:tc>
          <w:tcPr>
            <w:tcW w:type="dxa" w:w="3469"/>
            <w:shd w:fill="F3F5F7" w:color="auto" w:val="clear"/>
            <w:tcMar>
              <w:top w:type="dxa" w:w="50"/>
              <w:left w:type="dxa" w:w="90"/>
              <w:bottom w:type="dxa" w:w="50"/>
              <w:right w:type="dxa" w:w="90"/>
            </w:tcMar>
            <w:vAlign w:val="top"/>
          </w:tcPr>
          <w:p>
            <w:pPr>
              <w:spacing w:after="30" w:before="0" w:line="252"/>
            </w:pPr>
            <w:hyperlink w:history="1" r:id="rIdn3j34k_ppqlvjq4tm6zy3">
              <w:r>
                <w:rPr>
                  <w:b w:val="false"/>
                  <w:bCs w:val="false"/>
                  <w:color w:val="1F4E9A"/>
                  <w:sz w:val="15"/>
                  <w:szCs w:val="15"/>
                  <w:u w:val="single"/>
                </w:rPr>
                <w:t xml:space="preserve">https://tww.law/blog/2026/09/24/informationspflichten-haltbarkeit-updates-reparierbarkeit-2026/</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Kanzleibeitrag</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L9</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Shopbe­treiber-Blog: Umsetzung der EmpCo-RL im BGB und EGBGB</w:t>
            </w:r>
          </w:p>
        </w:tc>
        <w:tc>
          <w:tcPr>
            <w:tcW w:type="dxa" w:w="3469"/>
            <w:tcMar>
              <w:top w:type="dxa" w:w="50"/>
              <w:left w:type="dxa" w:w="90"/>
              <w:bottom w:type="dxa" w:w="50"/>
              <w:right w:type="dxa" w:w="90"/>
            </w:tcMar>
            <w:vAlign w:val="top"/>
          </w:tcPr>
          <w:p>
            <w:pPr>
              <w:spacing w:after="30" w:before="0" w:line="252"/>
            </w:pPr>
            <w:hyperlink w:history="1" r:id="rIdsbp0jcssopajdaxrb05a3">
              <w:r>
                <w:rPr>
                  <w:b w:val="false"/>
                  <w:bCs w:val="false"/>
                  <w:color w:val="1F4E9A"/>
                  <w:sz w:val="15"/>
                  <w:szCs w:val="15"/>
                  <w:u w:val="single"/>
                </w:rPr>
                <w:t xml:space="preserve">https://shopbetreiber-blog.de/ab-27-9-2026-die-umsetzung-der-empco-rl-im-bgb-und-egbgb</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Fachdienst</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L10</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tww.law: Abmahnung wegen Greenwashing (28.09.2026)</w:t>
            </w:r>
          </w:p>
        </w:tc>
        <w:tc>
          <w:tcPr>
            <w:tcW w:type="dxa" w:w="3469"/>
            <w:shd w:fill="F3F5F7" w:color="auto" w:val="clear"/>
            <w:tcMar>
              <w:top w:type="dxa" w:w="50"/>
              <w:left w:type="dxa" w:w="90"/>
              <w:bottom w:type="dxa" w:w="50"/>
              <w:right w:type="dxa" w:w="90"/>
            </w:tcMar>
            <w:vAlign w:val="top"/>
          </w:tcPr>
          <w:p>
            <w:pPr>
              <w:spacing w:after="30" w:before="0" w:line="252"/>
            </w:pPr>
            <w:hyperlink w:history="1" r:id="rIdwv9o9iouw_9ehmw830f8y">
              <w:r>
                <w:rPr>
                  <w:b w:val="false"/>
                  <w:bCs w:val="false"/>
                  <w:color w:val="1F4E9A"/>
                  <w:sz w:val="15"/>
                  <w:szCs w:val="15"/>
                  <w:u w:val="single"/>
                </w:rPr>
                <w:t xml:space="preserve">https://tww.law/blog/2026/09/28/abmahnung-greenwashing-uwg-2026/</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Kanzleibeitrag</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L11</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Haufe: Studie – jede zweite Firma kommuniziert regelwidrig (Wortliga und media4nature)</w:t>
            </w:r>
          </w:p>
        </w:tc>
        <w:tc>
          <w:tcPr>
            <w:tcW w:type="dxa" w:w="3469"/>
            <w:tcMar>
              <w:top w:type="dxa" w:w="50"/>
              <w:left w:type="dxa" w:w="90"/>
              <w:bottom w:type="dxa" w:w="50"/>
              <w:right w:type="dxa" w:w="90"/>
            </w:tcMar>
            <w:vAlign w:val="top"/>
          </w:tcPr>
          <w:p>
            <w:pPr>
              <w:spacing w:after="30" w:before="0" w:line="252"/>
            </w:pPr>
            <w:hyperlink w:history="1" r:id="rIdl0tphwkdhvxozxyntlhoo">
              <w:r>
                <w:rPr>
                  <w:b w:val="false"/>
                  <w:bCs w:val="false"/>
                  <w:color w:val="1F4E9A"/>
                  <w:sz w:val="15"/>
                  <w:szCs w:val="15"/>
                  <w:u w:val="single"/>
                </w:rPr>
                <w:t xml:space="preserve">https://www.haufe.de/sustainability/strategie/studie-jede-zweite-firma-kommuniziert-regelwidrig_575772_697476.html</w:t>
              </w:r>
            </w:hyperlink>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Fachmedium; Stichprobe, nicht repräsentativ</w:t>
            </w:r>
          </w:p>
        </w:tc>
      </w:tr>
      <w:tr>
        <w:trPr>
          <w:cantSplit/>
        </w:trPr>
        <w:tc>
          <w:tcPr>
            <w:tcW w:type="dxa" w:w="578"/>
            <w:shd w:fill="F3F5F7" w:color="auto" w:val="clear"/>
            <w:tcMar>
              <w:top w:type="dxa" w:w="50"/>
              <w:left w:type="dxa" w:w="90"/>
              <w:bottom w:type="dxa" w:w="50"/>
              <w:right w:type="dxa" w:w="90"/>
            </w:tcMar>
            <w:vAlign w:val="top"/>
          </w:tcPr>
          <w:p>
            <w:pPr>
              <w:spacing w:after="30" w:before="0" w:line="252"/>
            </w:pPr>
            <w:r>
              <w:rPr>
                <w:b/>
                <w:bCs/>
                <w:sz w:val="15"/>
                <w:szCs w:val="15"/>
              </w:rPr>
              <w:t xml:space="preserve">L12</w:t>
            </w:r>
          </w:p>
        </w:tc>
        <w:tc>
          <w:tcPr>
            <w:tcW w:type="dxa" w:w="3469"/>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Deutsche Umwelthilfe: Zwischenbilanz der Verfahren zu „klimaneutral“</w:t>
            </w:r>
          </w:p>
        </w:tc>
        <w:tc>
          <w:tcPr>
            <w:tcW w:type="dxa" w:w="3469"/>
            <w:shd w:fill="F3F5F7" w:color="auto" w:val="clear"/>
            <w:tcMar>
              <w:top w:type="dxa" w:w="50"/>
              <w:left w:type="dxa" w:w="90"/>
              <w:bottom w:type="dxa" w:w="50"/>
              <w:right w:type="dxa" w:w="90"/>
            </w:tcMar>
            <w:vAlign w:val="top"/>
          </w:tcPr>
          <w:p>
            <w:pPr>
              <w:spacing w:after="30" w:before="0" w:line="252"/>
            </w:pPr>
            <w:hyperlink w:history="1" r:id="rIdu6vfmey7qq02nbvf5tpiu">
              <w:r>
                <w:rPr>
                  <w:b w:val="false"/>
                  <w:bCs w:val="false"/>
                  <w:color w:val="1F4E9A"/>
                  <w:sz w:val="15"/>
                  <w:szCs w:val="15"/>
                  <w:u w:val="single"/>
                </w:rPr>
                <w:t xml:space="preserve">https://www.duh.de/presse/pressemitteilungen/pressemitteilung/irrefuehrende-werbung-zu-angeblich-klimaneutralen-produkten-deutsche-umwelthilfe-zieht-erfolgreiche/</w:t>
              </w:r>
            </w:hyperlink>
          </w:p>
        </w:tc>
        <w:tc>
          <w:tcPr>
            <w:tcW w:type="dxa" w:w="2122"/>
            <w:shd w:fill="F3F5F7" w:color="auto" w:val="clear"/>
            <w:tcMar>
              <w:top w:type="dxa" w:w="50"/>
              <w:left w:type="dxa" w:w="90"/>
              <w:bottom w:type="dxa" w:w="50"/>
              <w:right w:type="dxa" w:w="90"/>
            </w:tcMar>
            <w:vAlign w:val="top"/>
          </w:tcPr>
          <w:p>
            <w:pPr>
              <w:spacing w:after="30" w:before="0" w:line="252"/>
            </w:pPr>
            <w:r>
              <w:rPr>
                <w:b w:val="false"/>
                <w:bCs w:val="false"/>
                <w:sz w:val="15"/>
                <w:szCs w:val="15"/>
              </w:rPr>
              <w:t xml:space="preserve">Pressemitteilung eines Verbands</w:t>
            </w:r>
          </w:p>
        </w:tc>
      </w:tr>
      <w:tr>
        <w:trPr>
          <w:cantSplit/>
        </w:trPr>
        <w:tc>
          <w:tcPr>
            <w:tcW w:type="dxa" w:w="9638"/>
            <w:gridSpan w:val="4"/>
            <w:shd w:fill="DCE9E6" w:color="auto" w:val="clear"/>
            <w:tcMar>
              <w:top w:type="dxa" w:w="50"/>
              <w:left w:type="dxa" w:w="90"/>
              <w:bottom w:type="dxa" w:w="50"/>
              <w:right w:type="dxa" w:w="90"/>
            </w:tcMar>
            <w:vAlign w:val="top"/>
          </w:tcPr>
          <w:p>
            <w:pPr>
              <w:spacing w:after="30" w:before="0" w:line="252"/>
            </w:pPr>
            <w:r>
              <w:rPr>
                <w:b/>
                <w:bCs/>
                <w:color w:val="13233A"/>
                <w:sz w:val="15"/>
                <w:szCs w:val="15"/>
              </w:rPr>
              <w:t xml:space="preserve">Interne Grundlagen</w:t>
            </w:r>
          </w:p>
        </w:tc>
      </w:tr>
      <w:tr>
        <w:trPr>
          <w:cantSplit/>
        </w:trPr>
        <w:tc>
          <w:tcPr>
            <w:tcW w:type="dxa" w:w="578"/>
            <w:tcMar>
              <w:top w:type="dxa" w:w="50"/>
              <w:left w:type="dxa" w:w="90"/>
              <w:bottom w:type="dxa" w:w="50"/>
              <w:right w:type="dxa" w:w="90"/>
            </w:tcMar>
            <w:vAlign w:val="top"/>
          </w:tcPr>
          <w:p>
            <w:pPr>
              <w:spacing w:after="30" w:before="0" w:line="252"/>
            </w:pPr>
            <w:r>
              <w:rPr>
                <w:b/>
                <w:bCs/>
                <w:sz w:val="15"/>
                <w:szCs w:val="15"/>
              </w:rPr>
              <w:t xml:space="preserve">I1</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Research-Basis „EmpCo und UWG-Novelle aus Governance- und Compliance-Sicht“, 28.09.2026</w:t>
            </w:r>
          </w:p>
        </w:tc>
        <w:tc>
          <w:tcPr>
            <w:tcW w:type="dxa" w:w="3469"/>
            <w:tcMar>
              <w:top w:type="dxa" w:w="50"/>
              <w:left w:type="dxa" w:w="90"/>
              <w:bottom w:type="dxa" w:w="50"/>
              <w:right w:type="dxa" w:w="90"/>
            </w:tcMar>
            <w:vAlign w:val="top"/>
          </w:tcPr>
          <w:p>
            <w:pPr>
              <w:spacing w:after="30" w:before="0" w:line="252"/>
            </w:pPr>
            <w:r>
              <w:rPr>
                <w:b w:val="false"/>
                <w:bCs w:val="false"/>
                <w:sz w:val="15"/>
                <w:szCs w:val="15"/>
              </w:rPr>
              <w:t xml:space="preserve">research/empco-uwg/EmpCo-UWG_Governance-Research_2026-09-28.md</w:t>
            </w:r>
          </w:p>
        </w:tc>
        <w:tc>
          <w:tcPr>
            <w:tcW w:type="dxa" w:w="2122"/>
            <w:tcMar>
              <w:top w:type="dxa" w:w="50"/>
              <w:left w:type="dxa" w:w="90"/>
              <w:bottom w:type="dxa" w:w="50"/>
              <w:right w:type="dxa" w:w="90"/>
            </w:tcMar>
            <w:vAlign w:val="top"/>
          </w:tcPr>
          <w:p>
            <w:pPr>
              <w:spacing w:after="30" w:before="0" w:line="252"/>
            </w:pPr>
            <w:r>
              <w:rPr>
                <w:b w:val="false"/>
                <w:bCs w:val="false"/>
                <w:sz w:val="15"/>
                <w:szCs w:val="15"/>
              </w:rPr>
              <w:t xml:space="preserve">intern; eigene Quellenkennzeichnung im Dokument</w:t>
            </w:r>
          </w:p>
        </w:tc>
      </w:tr>
    </w:tbl>
    <w:p>
      <w:pPr>
        <w:spacing w:after="120"/>
      </w:pPr>
    </w:p>
    <w:p>
      <w:pPr>
        <w:pStyle w:val="Heading1"/>
        <w:keepNext/>
        <w:pageBreakBefore/>
      </w:pPr>
      <w:r>
        <w:t xml:space="preserve">Anhang B – Bezug zur Research-Basis</w:t>
      </w:r>
    </w:p>
    <w:tbl>
      <w:tblPr>
        <w:tblW w:type="dxa" w:w="9638"/>
        <w:tblBorders>
          <w:top w:val="single" w:color="C9CFD6" w:sz="4"/>
          <w:left w:val="single" w:color="C9CFD6" w:sz="4"/>
          <w:bottom w:val="single" w:color="C9CFD6" w:sz="4"/>
          <w:right w:val="single" w:color="C9CFD6" w:sz="4"/>
          <w:insideH w:val="single" w:color="C9CFD6" w:sz="4"/>
          <w:insideV w:val="single" w:color="C9CFD6" w:sz="4"/>
        </w:tblBorders>
        <w:tblLayout w:type="fixed"/>
      </w:tblPr>
      <w:tblGrid>
        <w:gridCol w:w="3276"/>
        <w:gridCol w:w="1542"/>
        <w:gridCol w:w="4820"/>
      </w:tblGrid>
      <w:tr>
        <w:trPr>
          <w:cantSplit/>
          <w:tblHeader/>
        </w:trPr>
        <w:tc>
          <w:tcPr>
            <w:tcW w:type="dxa" w:w="3276"/>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Thema in diesem Dokument</w:t>
            </w:r>
          </w:p>
        </w:tc>
        <w:tc>
          <w:tcPr>
            <w:tcW w:type="dxa" w:w="1542"/>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RB-Kapitel</w:t>
            </w:r>
          </w:p>
        </w:tc>
        <w:tc>
          <w:tcPr>
            <w:tcW w:type="dxa" w:w="4820"/>
            <w:shd w:fill="13233A" w:color="auto" w:val="clear"/>
            <w:tcMar>
              <w:top w:type="dxa" w:w="50"/>
              <w:left w:type="dxa" w:w="90"/>
              <w:bottom w:type="dxa" w:w="50"/>
              <w:right w:type="dxa" w:w="90"/>
            </w:tcMar>
            <w:vAlign w:val="top"/>
          </w:tcPr>
          <w:p>
            <w:pPr>
              <w:spacing w:after="30" w:before="0" w:line="252"/>
            </w:pPr>
            <w:r>
              <w:rPr>
                <w:b/>
                <w:bCs/>
                <w:color w:val="FFFFFF"/>
                <w:sz w:val="17"/>
                <w:szCs w:val="17"/>
              </w:rPr>
              <w:t xml:space="preserve">Übernommen bzw. weiterentwickelt</w:t>
            </w:r>
          </w:p>
        </w:tc>
      </w:tr>
      <w:tr>
        <w:trPr>
          <w:cantSplit/>
        </w:trPr>
        <w:tc>
          <w:tcPr>
            <w:tcW w:type="dxa" w:w="3276"/>
            <w:tcMar>
              <w:top w:type="dxa" w:w="50"/>
              <w:left w:type="dxa" w:w="90"/>
              <w:bottom w:type="dxa" w:w="50"/>
              <w:right w:type="dxa" w:w="90"/>
            </w:tcMar>
            <w:vAlign w:val="top"/>
          </w:tcPr>
          <w:p>
            <w:pPr>
              <w:spacing w:after="30" w:before="0" w:line="252"/>
            </w:pPr>
            <w:r>
              <w:rPr>
                <w:b/>
                <w:bCs/>
                <w:sz w:val="17"/>
                <w:szCs w:val="17"/>
              </w:rPr>
              <w:t xml:space="preserve">Rechtsrahmen, Anforderungs­katalog A1–A14 (Kap. 2)</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1.2, 1.3, 1.5, 3.1–3.16</w:t>
            </w:r>
          </w:p>
        </w:tc>
        <w:tc>
          <w:tcPr>
            <w:tcW w:type="dxa" w:w="4820"/>
            <w:tcMar>
              <w:top w:type="dxa" w:w="50"/>
              <w:left w:type="dxa" w:w="90"/>
              <w:bottom w:type="dxa" w:w="50"/>
              <w:right w:type="dxa" w:w="90"/>
            </w:tcMar>
            <w:vAlign w:val="top"/>
          </w:tcPr>
          <w:p>
            <w:pPr>
              <w:spacing w:after="30" w:before="0" w:line="252"/>
            </w:pPr>
            <w:r>
              <w:rPr>
                <w:b w:val="false"/>
                <w:bCs w:val="false"/>
                <w:sz w:val="17"/>
                <w:szCs w:val="17"/>
              </w:rPr>
              <w:t xml:space="preserve">Normzuordnung EU/DE, Stand § 15b UWG, Durchsetzung; hier als nummerierter Katalog</w:t>
            </w:r>
          </w:p>
        </w:tc>
      </w:tr>
      <w:tr>
        <w:trPr>
          <w:cantSplit/>
        </w:trPr>
        <w:tc>
          <w:tcPr>
            <w:tcW w:type="dxa" w:w="3276"/>
            <w:shd w:fill="F3F5F7" w:color="auto" w:val="clear"/>
            <w:tcMar>
              <w:top w:type="dxa" w:w="50"/>
              <w:left w:type="dxa" w:w="90"/>
              <w:bottom w:type="dxa" w:w="50"/>
              <w:right w:type="dxa" w:w="90"/>
            </w:tcMar>
            <w:vAlign w:val="top"/>
          </w:tcPr>
          <w:p>
            <w:pPr>
              <w:spacing w:after="30" w:before="0" w:line="252"/>
            </w:pPr>
            <w:r>
              <w:rPr>
                <w:b/>
                <w:bCs/>
                <w:sz w:val="17"/>
                <w:szCs w:val="17"/>
              </w:rPr>
              <w:t xml:space="preserve">Organisations­pflicht (Kap. 3)</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3.14, 7.4</w:t>
            </w:r>
          </w:p>
        </w:tc>
        <w:tc>
          <w:tcPr>
            <w:tcW w:type="dxa" w:w="48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Implizite Prozess­anforderungen; hier um Rechtsprechung, StaRUG, DCGK, HinSchG und HGB ergänzt</w:t>
            </w:r>
          </w:p>
        </w:tc>
      </w:tr>
      <w:tr>
        <w:trPr>
          <w:cantSplit/>
        </w:trPr>
        <w:tc>
          <w:tcPr>
            <w:tcW w:type="dxa" w:w="3276"/>
            <w:tcMar>
              <w:top w:type="dxa" w:w="50"/>
              <w:left w:type="dxa" w:w="90"/>
              <w:bottom w:type="dxa" w:w="50"/>
              <w:right w:type="dxa" w:w="90"/>
            </w:tcMar>
            <w:vAlign w:val="top"/>
          </w:tcPr>
          <w:p>
            <w:pPr>
              <w:spacing w:after="30" w:before="0" w:line="252"/>
            </w:pPr>
            <w:r>
              <w:rPr>
                <w:b/>
                <w:bCs/>
                <w:sz w:val="17"/>
                <w:szCs w:val="17"/>
              </w:rPr>
              <w:t xml:space="preserve">Integration „integriert, aber sichtbar“ (Kap. 1, 8)</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5.1</w:t>
            </w:r>
          </w:p>
        </w:tc>
        <w:tc>
          <w:tcPr>
            <w:tcW w:type="dxa" w:w="4820"/>
            <w:tcMar>
              <w:top w:type="dxa" w:w="50"/>
              <w:left w:type="dxa" w:w="90"/>
              <w:bottom w:type="dxa" w:w="50"/>
              <w:right w:type="dxa" w:w="90"/>
            </w:tcMar>
            <w:vAlign w:val="top"/>
          </w:tcPr>
          <w:p>
            <w:pPr>
              <w:spacing w:after="30" w:before="0" w:line="252"/>
            </w:pPr>
            <w:r>
              <w:rPr>
                <w:b w:val="false"/>
                <w:bCs w:val="false"/>
                <w:sz w:val="17"/>
                <w:szCs w:val="17"/>
              </w:rPr>
              <w:t xml:space="preserve">Empfehlung Option B</w:t>
            </w:r>
          </w:p>
        </w:tc>
      </w:tr>
      <w:tr>
        <w:trPr>
          <w:cantSplit/>
        </w:trPr>
        <w:tc>
          <w:tcPr>
            <w:tcW w:type="dxa" w:w="3276"/>
            <w:shd w:fill="F3F5F7" w:color="auto" w:val="clear"/>
            <w:tcMar>
              <w:top w:type="dxa" w:w="50"/>
              <w:left w:type="dxa" w:w="90"/>
              <w:bottom w:type="dxa" w:w="50"/>
              <w:right w:type="dxa" w:w="90"/>
            </w:tcMar>
            <w:vAlign w:val="top"/>
          </w:tcPr>
          <w:p>
            <w:pPr>
              <w:spacing w:after="30" w:before="0" w:line="252"/>
            </w:pPr>
            <w:r>
              <w:rPr>
                <w:b/>
                <w:bCs/>
                <w:sz w:val="17"/>
                <w:szCs w:val="17"/>
              </w:rPr>
              <w:t xml:space="preserve">Auswirkungen auf Management­systeme (Kap. 5–7, 12)</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5.2, 5.3</w:t>
            </w:r>
          </w:p>
        </w:tc>
        <w:tc>
          <w:tcPr>
            <w:tcW w:type="dxa" w:w="48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Tabelle je System; ISO-Grundstruktur für KMU</w:t>
            </w:r>
          </w:p>
        </w:tc>
      </w:tr>
      <w:tr>
        <w:trPr>
          <w:cantSplit/>
        </w:trPr>
        <w:tc>
          <w:tcPr>
            <w:tcW w:type="dxa" w:w="3276"/>
            <w:tcMar>
              <w:top w:type="dxa" w:w="50"/>
              <w:left w:type="dxa" w:w="90"/>
              <w:bottom w:type="dxa" w:w="50"/>
              <w:right w:type="dxa" w:w="90"/>
            </w:tcMar>
            <w:vAlign w:val="top"/>
          </w:tcPr>
          <w:p>
            <w:pPr>
              <w:spacing w:after="30" w:before="0" w:line="252"/>
            </w:pPr>
            <w:r>
              <w:rPr>
                <w:b/>
                <w:bCs/>
                <w:sz w:val="17"/>
                <w:szCs w:val="17"/>
              </w:rPr>
              <w:t xml:space="preserve">Kontrollziele und Kontrollen (Kap. 7)</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4.4, 8.1, 8.2</w:t>
            </w:r>
          </w:p>
        </w:tc>
        <w:tc>
          <w:tcPr>
            <w:tcW w:type="dxa" w:w="4820"/>
            <w:tcMar>
              <w:top w:type="dxa" w:w="50"/>
              <w:left w:type="dxa" w:w="90"/>
              <w:bottom w:type="dxa" w:w="50"/>
              <w:right w:type="dxa" w:w="90"/>
            </w:tcMar>
            <w:vAlign w:val="top"/>
          </w:tcPr>
          <w:p>
            <w:pPr>
              <w:spacing w:after="30" w:before="0" w:line="252"/>
            </w:pPr>
            <w:r>
              <w:rPr>
                <w:b w:val="false"/>
                <w:bCs w:val="false"/>
                <w:sz w:val="17"/>
                <w:szCs w:val="17"/>
              </w:rPr>
              <w:t xml:space="preserve">Claim-Assertions; KZ1–KZ8 um KZ9 ergänzt; C01–C22 zu K1–K12 verdichtet</w:t>
            </w:r>
          </w:p>
        </w:tc>
      </w:tr>
      <w:tr>
        <w:trPr>
          <w:cantSplit/>
        </w:trPr>
        <w:tc>
          <w:tcPr>
            <w:tcW w:type="dxa" w:w="3276"/>
            <w:shd w:fill="F3F5F7" w:color="auto" w:val="clear"/>
            <w:tcMar>
              <w:top w:type="dxa" w:w="50"/>
              <w:left w:type="dxa" w:w="90"/>
              <w:bottom w:type="dxa" w:w="50"/>
              <w:right w:type="dxa" w:w="90"/>
            </w:tcMar>
            <w:vAlign w:val="top"/>
          </w:tcPr>
          <w:p>
            <w:pPr>
              <w:spacing w:after="30" w:before="0" w:line="252"/>
            </w:pPr>
            <w:r>
              <w:rPr>
                <w:b/>
                <w:bCs/>
                <w:sz w:val="17"/>
                <w:szCs w:val="17"/>
              </w:rPr>
              <w:t xml:space="preserve">Nachweis­fähigkeit, 48-Stunden-Test (Kap. 5, 7)</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4.5, 8.2 (C21)</w:t>
            </w:r>
          </w:p>
        </w:tc>
        <w:tc>
          <w:tcPr>
            <w:tcW w:type="dxa" w:w="48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Nachweisebenen und Zielwert</w:t>
            </w:r>
          </w:p>
        </w:tc>
      </w:tr>
      <w:tr>
        <w:trPr>
          <w:cantSplit/>
        </w:trPr>
        <w:tc>
          <w:tcPr>
            <w:tcW w:type="dxa" w:w="3276"/>
            <w:tcMar>
              <w:top w:type="dxa" w:w="50"/>
              <w:left w:type="dxa" w:w="90"/>
              <w:bottom w:type="dxa" w:w="50"/>
              <w:right w:type="dxa" w:w="90"/>
            </w:tcMar>
            <w:vAlign w:val="top"/>
          </w:tcPr>
          <w:p>
            <w:pPr>
              <w:spacing w:after="30" w:before="0" w:line="252"/>
            </w:pPr>
            <w:r>
              <w:rPr>
                <w:b/>
                <w:bCs/>
                <w:sz w:val="17"/>
                <w:szCs w:val="17"/>
              </w:rPr>
              <w:t xml:space="preserve">Kennzahlen (Kap. 5, 6)</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8.6</w:t>
            </w:r>
          </w:p>
        </w:tc>
        <w:tc>
          <w:tcPr>
            <w:tcW w:type="dxa" w:w="4820"/>
            <w:tcMar>
              <w:top w:type="dxa" w:w="50"/>
              <w:left w:type="dxa" w:w="90"/>
              <w:bottom w:type="dxa" w:w="50"/>
              <w:right w:type="dxa" w:w="90"/>
            </w:tcMar>
            <w:vAlign w:val="top"/>
          </w:tcPr>
          <w:p>
            <w:pPr>
              <w:spacing w:after="30" w:before="0" w:line="252"/>
            </w:pPr>
            <w:r>
              <w:rPr>
                <w:b w:val="false"/>
                <w:bCs w:val="false"/>
                <w:sz w:val="17"/>
                <w:szCs w:val="17"/>
              </w:rPr>
              <w:t xml:space="preserve">KPI- und KRI-Set</w:t>
            </w:r>
          </w:p>
        </w:tc>
      </w:tr>
      <w:tr>
        <w:trPr>
          <w:cantSplit/>
        </w:trPr>
        <w:tc>
          <w:tcPr>
            <w:tcW w:type="dxa" w:w="3276"/>
            <w:shd w:fill="F3F5F7" w:color="auto" w:val="clear"/>
            <w:tcMar>
              <w:top w:type="dxa" w:w="50"/>
              <w:left w:type="dxa" w:w="90"/>
              <w:bottom w:type="dxa" w:w="50"/>
              <w:right w:type="dxa" w:w="90"/>
            </w:tcMar>
            <w:vAlign w:val="top"/>
          </w:tcPr>
          <w:p>
            <w:pPr>
              <w:spacing w:after="30" w:before="0" w:line="252"/>
            </w:pPr>
            <w:r>
              <w:rPr>
                <w:b/>
                <w:bCs/>
                <w:sz w:val="17"/>
                <w:szCs w:val="17"/>
              </w:rPr>
              <w:t xml:space="preserve">Risikoinventar und Priorisierung (Kap. 6, 12)</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9.2, 9.3</w:t>
            </w:r>
          </w:p>
        </w:tc>
        <w:tc>
          <w:tcPr>
            <w:tcW w:type="dxa" w:w="48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Risiko­kategorien und Rangfolge</w:t>
            </w:r>
          </w:p>
        </w:tc>
      </w:tr>
      <w:tr>
        <w:trPr>
          <w:cantSplit/>
        </w:trPr>
        <w:tc>
          <w:tcPr>
            <w:tcW w:type="dxa" w:w="3276"/>
            <w:tcMar>
              <w:top w:type="dxa" w:w="50"/>
              <w:left w:type="dxa" w:w="90"/>
              <w:bottom w:type="dxa" w:w="50"/>
              <w:right w:type="dxa" w:w="90"/>
            </w:tcMar>
            <w:vAlign w:val="top"/>
          </w:tcPr>
          <w:p>
            <w:pPr>
              <w:spacing w:after="30" w:before="0" w:line="252"/>
            </w:pPr>
            <w:r>
              <w:rPr>
                <w:b/>
                <w:bCs/>
                <w:sz w:val="17"/>
                <w:szCs w:val="17"/>
              </w:rPr>
              <w:t xml:space="preserve">Mindest-Governance und Einführungspfad (Kap. 12)</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6.10</w:t>
            </w:r>
          </w:p>
        </w:tc>
        <w:tc>
          <w:tcPr>
            <w:tcW w:type="dxa" w:w="4820"/>
            <w:tcMar>
              <w:top w:type="dxa" w:w="50"/>
              <w:left w:type="dxa" w:w="90"/>
              <w:bottom w:type="dxa" w:w="50"/>
              <w:right w:type="dxa" w:w="90"/>
            </w:tcMar>
            <w:vAlign w:val="top"/>
          </w:tcPr>
          <w:p>
            <w:pPr>
              <w:spacing w:after="30" w:before="0" w:line="252"/>
            </w:pPr>
            <w:r>
              <w:rPr>
                <w:b w:val="false"/>
                <w:bCs w:val="false"/>
                <w:sz w:val="17"/>
                <w:szCs w:val="17"/>
              </w:rPr>
              <w:t xml:space="preserve">Zehn Bausteine; Tage 0–180</w:t>
            </w:r>
          </w:p>
        </w:tc>
      </w:tr>
      <w:tr>
        <w:trPr>
          <w:cantSplit/>
        </w:trPr>
        <w:tc>
          <w:tcPr>
            <w:tcW w:type="dxa" w:w="3276"/>
            <w:shd w:fill="F3F5F7" w:color="auto" w:val="clear"/>
            <w:tcMar>
              <w:top w:type="dxa" w:w="50"/>
              <w:left w:type="dxa" w:w="90"/>
              <w:bottom w:type="dxa" w:w="50"/>
              <w:right w:type="dxa" w:w="90"/>
            </w:tcMar>
            <w:vAlign w:val="top"/>
          </w:tcPr>
          <w:p>
            <w:pPr>
              <w:spacing w:after="30" w:before="0" w:line="252"/>
            </w:pPr>
            <w:r>
              <w:rPr>
                <w:b/>
                <w:bCs/>
                <w:sz w:val="17"/>
                <w:szCs w:val="17"/>
              </w:rPr>
              <w:t xml:space="preserve">KI-generierte Claims (Kap. 10.5)</w:t>
            </w:r>
          </w:p>
        </w:tc>
        <w:tc>
          <w:tcPr>
            <w:tcW w:type="dxa" w:w="1542"/>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13, 14</w:t>
            </w:r>
          </w:p>
        </w:tc>
        <w:tc>
          <w:tcPr>
            <w:tcW w:type="dxa" w:w="4820"/>
            <w:shd w:fill="F3F5F7" w:color="auto" w:val="clear"/>
            <w:tcMar>
              <w:top w:type="dxa" w:w="50"/>
              <w:left w:type="dxa" w:w="90"/>
              <w:bottom w:type="dxa" w:w="50"/>
              <w:right w:type="dxa" w:w="90"/>
            </w:tcMar>
            <w:vAlign w:val="top"/>
          </w:tcPr>
          <w:p>
            <w:pPr>
              <w:spacing w:after="30" w:before="0" w:line="252"/>
            </w:pPr>
            <w:r>
              <w:rPr>
                <w:b w:val="false"/>
                <w:bCs w:val="false"/>
                <w:sz w:val="17"/>
                <w:szCs w:val="17"/>
              </w:rPr>
              <w:t xml:space="preserve">Kontrollen für KI-Ausgaben</w:t>
            </w:r>
          </w:p>
        </w:tc>
      </w:tr>
      <w:tr>
        <w:trPr>
          <w:cantSplit/>
        </w:trPr>
        <w:tc>
          <w:tcPr>
            <w:tcW w:type="dxa" w:w="3276"/>
            <w:tcMar>
              <w:top w:type="dxa" w:w="50"/>
              <w:left w:type="dxa" w:w="90"/>
              <w:bottom w:type="dxa" w:w="50"/>
              <w:right w:type="dxa" w:w="90"/>
            </w:tcMar>
            <w:vAlign w:val="top"/>
          </w:tcPr>
          <w:p>
            <w:pPr>
              <w:spacing w:after="30" w:before="0" w:line="252"/>
            </w:pPr>
            <w:r>
              <w:rPr>
                <w:b/>
                <w:bCs/>
                <w:sz w:val="17"/>
                <w:szCs w:val="17"/>
              </w:rPr>
              <w:t xml:space="preserve">Kategorienbezeichnung (Kap. 8)</w:t>
            </w:r>
          </w:p>
        </w:tc>
        <w:tc>
          <w:tcPr>
            <w:tcW w:type="dxa" w:w="1542"/>
            <w:tcMar>
              <w:top w:type="dxa" w:w="50"/>
              <w:left w:type="dxa" w:w="90"/>
              <w:bottom w:type="dxa" w:w="50"/>
              <w:right w:type="dxa" w:w="90"/>
            </w:tcMar>
            <w:vAlign w:val="top"/>
          </w:tcPr>
          <w:p>
            <w:pPr>
              <w:spacing w:after="30" w:before="0" w:line="252"/>
            </w:pPr>
            <w:r>
              <w:rPr>
                <w:b w:val="false"/>
                <w:bCs w:val="false"/>
                <w:sz w:val="17"/>
                <w:szCs w:val="17"/>
              </w:rPr>
              <w:t xml:space="preserve">11.8</w:t>
            </w:r>
          </w:p>
        </w:tc>
        <w:tc>
          <w:tcPr>
            <w:tcW w:type="dxa" w:w="4820"/>
            <w:tcMar>
              <w:top w:type="dxa" w:w="50"/>
              <w:left w:type="dxa" w:w="90"/>
              <w:bottom w:type="dxa" w:w="50"/>
              <w:right w:type="dxa" w:w="90"/>
            </w:tcMar>
            <w:vAlign w:val="top"/>
          </w:tcPr>
          <w:p>
            <w:pPr>
              <w:spacing w:after="30" w:before="0" w:line="252"/>
            </w:pPr>
            <w:r>
              <w:rPr>
                <w:b w:val="false"/>
                <w:bCs w:val="false"/>
                <w:sz w:val="17"/>
                <w:szCs w:val="17"/>
              </w:rPr>
              <w:t xml:space="preserve">Generische Claims-Governance als Begründung für eine rechtsaktneutrale Kategorie</w:t>
            </w:r>
          </w:p>
        </w:tc>
      </w:tr>
    </w:tbl>
    <w:p>
      <w:pPr>
        <w:spacing w:after="0" w:before="0" w:line="20" w:lineRule="exact"/>
      </w:pPr>
      <w:r>
        <w:rPr>
          <w:sz w:val="2"/>
          <w:szCs w:val="2"/>
        </w:rPr>
        <w:t xml:space="preserve"/>
      </w:r>
    </w:p>
    <w:sectPr>
      <w:headerReference w:type="default" r:id="rId12"/>
      <w:footerReference w:type="default" r:id="rId13"/>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B78"/>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B78"/>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B78"/>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space="4"/>
      </w:pBdr>
      <w:jc w:val="right"/>
    </w:pPr>
    <w:r>
      <w:rPr>
        <w:color w:val="5E6B78"/>
        <w:sz w:val="16"/>
        <w:szCs w:val="16"/>
      </w:rPr>
      <w:t xml:space="preserve">EmpCo in bestehenden GRC-Strukturen · Entwurf v1.0 · intern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space="4"/>
      </w:pBdr>
      <w:jc w:val="right"/>
    </w:pPr>
    <w:r>
      <w:rPr>
        <w:color w:val="5E6B78"/>
        <w:sz w:val="16"/>
        <w:szCs w:val="16"/>
      </w:rPr>
      <w:t xml:space="preserve">EmpCo in bestehenden GRC-Strukturen · Entwurf v1.0 · intern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space="4"/>
      </w:pBdr>
      <w:jc w:val="right"/>
    </w:pPr>
    <w:r>
      <w:rPr>
        <w:color w:val="5E6B78"/>
        <w:sz w:val="16"/>
        <w:szCs w:val="16"/>
      </w:rPr>
      <w:t xml:space="preserve">EmpCo in bestehenden GRC-Strukturen · Entwurf v1.0 · intern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bullet"/>
      <w:lvlText w:val="•"/>
      <w:lvlJc w:val="left"/>
      <w:pPr>
        <w:ind w:left="200" w:hanging="16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mbria" w:cs="Cambria" w:eastAsia="Cambria" w:hAnsi="Cambria"/>
      <w:b/>
      <w:bCs/>
      <w:color w:val="13233A"/>
      <w:sz w:val="34"/>
      <w:szCs w:val="34"/>
    </w:rPr>
  </w:style>
  <w:style w:type="paragraph" w:styleId="Heading2">
    <w:name w:val="Heading 2"/>
    <w:basedOn w:val="Normal"/>
    <w:next w:val="Normal"/>
    <w:qFormat/>
    <w:pPr>
      <w:spacing w:after="120" w:before="280"/>
      <w:outlineLvl w:val="1"/>
    </w:pPr>
    <w:rPr>
      <w:rFonts w:ascii="Cambria" w:cs="Cambria" w:eastAsia="Cambria" w:hAnsi="Cambria"/>
      <w:b/>
      <w:bCs/>
      <w:color w:val="13233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6F6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3l8mq333r3ucadkswhzkr" Type="http://schemas.openxmlformats.org/officeDocument/2006/relationships/hyperlink" Target="https://eur-lex.europa.eu/eli/dir/2024/825/oj?locale=de" TargetMode="External"/><Relationship Id="rIdhe-rerpdmvgdyjpxjwfkd" Type="http://schemas.openxmlformats.org/officeDocument/2006/relationships/hyperlink" Target="https://eur-lex.europa.eu/legal-content/DE/TXT/?uri=celex:32005L0029" TargetMode="External"/><Relationship Id="rIdkmxsdnephzenpdc2-clud" Type="http://schemas.openxmlformats.org/officeDocument/2006/relationships/hyperlink" Target="https://eur-lex.europa.eu/legal-content/DE/TXT/?uri=celex:32011L0083" TargetMode="External"/><Relationship Id="rIdgry6exxc3uppn-ie6lpkl" Type="http://schemas.openxmlformats.org/officeDocument/2006/relationships/hyperlink" Target="https://www.recht.bund.de/bgbl/1/2026/43/regelungstext.pdf?__blob=publicationFile&amp;v=1" TargetMode="External"/><Relationship Id="rIddxvree-d6jedlmpgzinss" Type="http://schemas.openxmlformats.org/officeDocument/2006/relationships/hyperlink" Target="https://shopbetreiber-blog.de/ab-27-9-2026-die-umsetzung-der-empco-rl-im-bgb-und-egbgb" TargetMode="External"/><Relationship Id="rIdsejlohefbd9h3dxq3ityj" Type="http://schemas.openxmlformats.org/officeDocument/2006/relationships/hyperlink" Target="https://tww.law/blog/2026/09/24/informationspflichten-haltbarkeit-updates-reparierbarkeit-2026/" TargetMode="External"/><Relationship Id="rIdbxmv8mprlbrokybnsfos7" Type="http://schemas.openxmlformats.org/officeDocument/2006/relationships/hyperlink" Target="https://eur-lex.europa.eu/eli/reg_impl/2025/1960/oj/eng" TargetMode="External"/><Relationship Id="rIdfuvafkjpuu8gil0avl9f9" Type="http://schemas.openxmlformats.org/officeDocument/2006/relationships/hyperlink" Target="https://dserver.bundestag.de/btd/21/018/2101855.pdf" TargetMode="External"/><Relationship Id="rIdo05bu-klphhyf4ceqw3qj" Type="http://schemas.openxmlformats.org/officeDocument/2006/relationships/hyperlink" Target="https://dserver.bundestag.de/btd/21/062/2106215.pdf" TargetMode="External"/><Relationship Id="rIdsncnfug7-iciq0zav1lm1" Type="http://schemas.openxmlformats.org/officeDocument/2006/relationships/hyperlink" Target="https://dserver.bundestag.de/btd/21/081/2108158.pdf" TargetMode="External"/><Relationship Id="rIdea9hxaktvzveqk_zfxxj4" Type="http://schemas.openxmlformats.org/officeDocument/2006/relationships/hyperlink" Target="https://www.gesetze-im-internet.de/aktg/__91.html" TargetMode="External"/><Relationship Id="rIdxeepnva4frjeq-lfvh8b5" Type="http://schemas.openxmlformats.org/officeDocument/2006/relationships/hyperlink" Target="https://www.gesetze-im-internet.de/gmbhg/__43.html" TargetMode="External"/><Relationship Id="rId5bu5krukesaoxmgavma3q" Type="http://schemas.openxmlformats.org/officeDocument/2006/relationships/hyperlink" Target="https://www.gesetze-im-internet.de/owig_1968/__130.html" TargetMode="External"/><Relationship Id="rIdjg2walcypvg65wtwgf2-a" Type="http://schemas.openxmlformats.org/officeDocument/2006/relationships/hyperlink" Target="https://www.gesetze-im-internet.de/starug/__1.html" TargetMode="External"/><Relationship Id="rIdm0o40qvpgganfd-7yfwej" Type="http://schemas.openxmlformats.org/officeDocument/2006/relationships/hyperlink" Target="https://www.gesetze-im-internet.de/hinschg/__2.html" TargetMode="External"/><Relationship Id="rIdvy30orbdrvw99bn6--s8e" Type="http://schemas.openxmlformats.org/officeDocument/2006/relationships/hyperlink" Target="https://dejure.org/dienste/vernetzung/rechtsprechung?Text=5+HK+O+1387%2F10" TargetMode="External"/><Relationship Id="rIdxy-hmqr4u0gg9f2v0fod4" Type="http://schemas.openxmlformats.org/officeDocument/2006/relationships/hyperlink" Target="https://live.handelsblatt.com/compliance-management-als-sorgfalts-und-leitungspflicht-der-gmbh-geschaeftsfuehrung/" TargetMode="External"/><Relationship Id="rIdur-glae33ngjtqykex8qd" Type="http://schemas.openxmlformats.org/officeDocument/2006/relationships/hyperlink" Target="https://www.bundesgerichtshof.de/SharedDocs/Pressemitteilungen/DE/2024/2024138.html" TargetMode="External"/><Relationship Id="rId7klukx2wxr5l-pu4adzri" Type="http://schemas.openxmlformats.org/officeDocument/2006/relationships/hyperlink" Target="https://www.recht.bund.de/bgbl/1/2026/212/VO.html" TargetMode="External"/><Relationship Id="rIdxxct76c2tspc6wnrb44kn" Type="http://schemas.openxmlformats.org/officeDocument/2006/relationships/hyperlink" Target="https://www.gesetze-im-internet.de/zpo/__890.html" TargetMode="External"/><Relationship Id="rIdrmehgpoiucvdjhoowgmmo" Type="http://schemas.openxmlformats.org/officeDocument/2006/relationships/hyperlink" Target="https://www.gesetze-im-internet.de/hgb/__289.html" TargetMode="External"/><Relationship Id="rIdpxvqstfdyqhmpg-sb8uqt" Type="http://schemas.openxmlformats.org/officeDocument/2006/relationships/hyperlink" Target="https://commission.europa.eu/document/download/3c257883-bb2a-4dd9-a6dc-501d587bb34f_en?filename=faq-empowerting-consumers-gtd.pdf" TargetMode="External"/><Relationship Id="rIdeq7bkz0glfu0hzctslbnd" Type="http://schemas.openxmlformats.org/officeDocument/2006/relationships/hyperlink" Target="https://eur-lex.europa.eu/legal-content/DE/TXT/?uri=CELEX:52021XC1229(05)" TargetMode="External"/><Relationship Id="rIdeee_rkqzqzdfrewzr5vrd" Type="http://schemas.openxmlformats.org/officeDocument/2006/relationships/hyperlink" Target="https://commission.europa.eu/document/download/264d8c70-2f9a-4955-8e7b-154d55a9b684_en?filename=Final+CPC+common+understanding+on+old+stock+situations+June+2026.pdf" TargetMode="External"/><Relationship Id="rIdp5w9ulx6tofyffre24sty" Type="http://schemas.openxmlformats.org/officeDocument/2006/relationships/hyperlink" Target="https://www.idw.de/news/idw-veroeffentlicht-mustervermerke-zur-pruefung-von-umsetzungsplaenen-fuer-kuenftige-umweltleistungen.html" TargetMode="External"/><Relationship Id="rId1ksps_4xxajxqumikgxum" Type="http://schemas.openxmlformats.org/officeDocument/2006/relationships/hyperlink" Target="https://www.dcgk.de/files/dcgk/usercontent/de/download/kodex/220517_Deutscher_Corporate_Governance_Kodex_2022.pdf" TargetMode="External"/><Relationship Id="rIdwsdfjy2parv3nvcg2_rci" Type="http://schemas.openxmlformats.org/officeDocument/2006/relationships/hyperlink" Target="https://www.idw.de/idw/idw-aktuell/idw-ps-980-n-f-09-2022-zur-pruefung-von-compliance-management-systemen-verab-schiedet.html" TargetMode="External"/><Relationship Id="rIdz3ugrtnf7ftqf8pef2td2" Type="http://schemas.openxmlformats.org/officeDocument/2006/relationships/hyperlink" Target="https://www.deloitte.com/de/de/services/audit-assurance/perspectives/idw-ps-981-pruefung-rms-risikomanagementsystem.html" TargetMode="External"/><Relationship Id="rIdqrqoqri2qr5uxzol09ek9" Type="http://schemas.openxmlformats.org/officeDocument/2006/relationships/hyperlink" Target="https://www.bdo.de/de-de/services/audit-assurance/forensic-risk-compliance/internes-kontrollsystem-und-risikomanagement/prufung-von-internen-kontrollsystemen-nach-idw-ps-982" TargetMode="External"/><Relationship Id="rIdk_ebp-coe6kyvyhnktzm2" Type="http://schemas.openxmlformats.org/officeDocument/2006/relationships/hyperlink" Target="https://www.iso.org/standard/75080.html" TargetMode="External"/><Relationship Id="rIdmsmcjm1kvnseay_r5kjjz" Type="http://schemas.openxmlformats.org/officeDocument/2006/relationships/hyperlink" Target="https://www.iso.org/standard/65694.html" TargetMode="External"/><Relationship Id="rIdurjfwze7ckv8lnhsybyiw" Type="http://schemas.openxmlformats.org/officeDocument/2006/relationships/hyperlink" Target="https://www.theiia.org/en/products/bookstore/coso-enterprise-risk-management---integrating-with-strategy-and-performance/" TargetMode="External"/><Relationship Id="rIdb1ui9hjtsmezls0q0m5xd" Type="http://schemas.openxmlformats.org/officeDocument/2006/relationships/hyperlink" Target="https://www.theiia.org/en/products/bookstore/coso---internal-control--integrated-framework-2013-framework/" TargetMode="External"/><Relationship Id="rIdrka0_h31suajqqr0imrpz" Type="http://schemas.openxmlformats.org/officeDocument/2006/relationships/hyperlink" Target="https://www.coso.org/guidance-on-ic" TargetMode="External"/><Relationship Id="rIdrtpwa642j9dgh8mjfadz9" Type="http://schemas.openxmlformats.org/officeDocument/2006/relationships/hyperlink" Target="https://www.theiia.org/globalassets/documents/resources/the-iias-three-lines-model-an-update-of-the-three-lines-of-defense-july-2020/three-lines-model-updated-english.pdf" TargetMode="External"/><Relationship Id="rIdlzkrm6essqkhptha7xury" Type="http://schemas.openxmlformats.org/officeDocument/2006/relationships/hyperlink" Target="https://www.iso.org/standard/60857.html" TargetMode="External"/><Relationship Id="rIdci64vmi2estjarc6tlwcf" Type="http://schemas.openxmlformats.org/officeDocument/2006/relationships/hyperlink" Target="https://www.dico-ev.de/risikokatalog-2024/" TargetMode="External"/><Relationship Id="rId1xujatqweioqfgaim2lb5" Type="http://schemas.openxmlformats.org/officeDocument/2006/relationships/hyperlink" Target="https://www.corporatecomplianceinsights.com/with-empco-greenwashing-moves-from-reputation-risk-ccompliance-risk/" TargetMode="External"/><Relationship Id="rIdgj6r6qwe2vl_rxojprxt4" Type="http://schemas.openxmlformats.org/officeDocument/2006/relationships/hyperlink" Target="https://www.forvismazars.com/de/de/services/sustainability/rechtsrisiken-durch-greenwashing-wachsen" TargetMode="External"/><Relationship Id="rId1kcjqvjio7ig9pvgmidbj" Type="http://schemas.openxmlformats.org/officeDocument/2006/relationships/hyperlink" Target="https://www.pwc.de/de/nachhaltigkeit/green-claims-stresstest-fuer-die-governance.html" TargetMode="External"/><Relationship Id="rIdqoszrodi8lozwu8pkqcdm" Type="http://schemas.openxmlformats.org/officeDocument/2006/relationships/hyperlink" Target="https://www.deloitte.com/at/de/services/consulting/services/eu-greenwashing-directive.html" TargetMode="External"/><Relationship Id="rId8bu4yldzae1n5yzurmfr3" Type="http://schemas.openxmlformats.org/officeDocument/2006/relationships/hyperlink" Target="https://www.grantthornton.at/services/advisory/sustainability-services/empco-green-claims-compliance/" TargetMode="External"/><Relationship Id="rId7wem955lo4vg8_bwjcuhc" Type="http://schemas.openxmlformats.org/officeDocument/2006/relationships/hyperlink" Target="https://www.roedl.com/insights/empco-neue-regelungen-fuer-umweltaussagen/" TargetMode="External"/><Relationship Id="rId_xjl1kwbtcm__g2qkr_uz" Type="http://schemas.openxmlformats.org/officeDocument/2006/relationships/hyperlink" Target="https://www.haufe.de/sustainability/strategie/green-claims-vom-rechtscheck-zum-dauerhaften-pruefprozess_575772_698090.html" TargetMode="External"/><Relationship Id="rIdn3j34k_ppqlvjq4tm6zy3" Type="http://schemas.openxmlformats.org/officeDocument/2006/relationships/hyperlink" Target="https://tww.law/blog/2026/09/24/informationspflichten-haltbarkeit-updates-reparierbarkeit-2026/" TargetMode="External"/><Relationship Id="rIdsbp0jcssopajdaxrb05a3" Type="http://schemas.openxmlformats.org/officeDocument/2006/relationships/hyperlink" Target="https://shopbetreiber-blog.de/ab-27-9-2026-die-umsetzung-der-empco-rl-im-bgb-und-egbgb" TargetMode="External"/><Relationship Id="rIdwv9o9iouw_9ehmw830f8y" Type="http://schemas.openxmlformats.org/officeDocument/2006/relationships/hyperlink" Target="https://tww.law/blog/2026/09/28/abmahnung-greenwashing-uwg-2026/" TargetMode="External"/><Relationship Id="rIdl0tphwkdhvxozxyntlhoo" Type="http://schemas.openxmlformats.org/officeDocument/2006/relationships/hyperlink" Target="https://www.haufe.de/sustainability/strategie/studie-jede-zweite-firma-kommuniziert-regelwidrig_575772_697476.html" TargetMode="External"/><Relationship Id="rIdu6vfmey7qq02nbvf5tpiu" Type="http://schemas.openxmlformats.org/officeDocument/2006/relationships/hyperlink" Target="https://www.duh.de/presse/pressemitteilungen/pressemitteilung/irrefuehrende-werbung-zu-angeblich-klimaneutralen-produkten-deutsche-umwelthilfe-zieht-erfolgreiche/" TargetMode="External"/><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EmpCo in bestehenden GRC-Strukturen</dc:title>
  <dc:creator>Interne Arbeitsgrundlage</dc:creator>
  <dc:description>Integration der Richtlinie (EU) 2024/825 in CMS, RMS und IKS</dc:description>
  <cp:lastModifiedBy>Un-named</cp:lastModifiedBy>
  <cp:revision>1</cp:revision>
  <dcterms:created xsi:type="dcterms:W3CDTF">2026-09-29T12:27:44.950Z</dcterms:created>
  <dcterms:modified xsi:type="dcterms:W3CDTF">2026-09-29T12:27:44.950Z</dcterms:modified>
</cp:coreProperties>
</file>

<file path=docProps/custom.xml><?xml version="1.0" encoding="utf-8"?>
<Properties xmlns="http://schemas.openxmlformats.org/officeDocument/2006/custom-properties" xmlns:vt="http://schemas.openxmlformats.org/officeDocument/2006/docPropsVTypes"/>
</file>