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IKS-Tabelle: Risiken, Kontrollen und Nachweise für Claims nach EmpCo/UWG</w:t>
      </w:r>
    </w:p>
    <w:p>
      <w:pPr>
        <w:spacing w:after="20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Stand 30.09.2026 · Entwurf · intern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70"/>
        <w:gridCol w:w="3662"/>
        <w:gridCol w:w="2506"/>
      </w:tblGrid>
      <w:tr>
        <w:trPr>
          <w:cantSplit/>
          <w:tblHeader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Kontrolle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Nachweis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Unbelegter Umweltclaim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Evidenzprüfung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(K3)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Claim-Dokumentation der Belege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Veraltete Daten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Datenaktualitätsprüfung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(K7)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Prüfprotokoll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Nicht anerkanntes Nachhaltigkeitssiegel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Siegelprüfung vor Nutzung und jährlich: Zertifizierungssystem mit Drittüberwachung oder staatliche Festsetzung; Lizenzumfang und Laufzeit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(K5)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Label-Register mit Zertifikat bzw. Lizenz und Ablaufdatum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Unzulässiger Claim (z.B. kompensationsbasierter Klimaneutralitätsclaim; Irreführende Gesamtaussage als Gesamteindruck)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Negativlisten-Prüfung vor Freigabe; rechtliche Prüfung bei Hochrisiko-Claims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(K2)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Klassifizierungsvermerk, Freigaben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Nicht autorisierte Veröffentlichung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Vier-Augen-Prinzip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(K4, K1)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Freigabe-Workflow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Allgemeine Umweltaussage ohne Nachweis (z.B. „umweltfreundlich“, „nachhaltig“)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Freigabe nur mit EU-Umweltzeichen bzw. Typ-I-Zeichen oder mit klarer Spezifizierung im selben Medium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(K2)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Klassifizierungsvermerk, freigegebenes Layout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Zukunftsaussage ohne Umsetzungsplan und externe Prüfung (z.B. „klimaneutral bis 2035“)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Freigabe nur mit GF-Beschluss, Umsetzungsplan, Prüfung durch unabhängigen Sachverständigen und veröffentlichten Ergebnissen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(K6)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Beschluss, Umsetzungsplan, Prüfbericht, Link oder QR-Code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Vergleichsaussage ohne vergleichbare Methode (z.B. „30 % weniger CO2 als …“)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Prüfung von Vergleichsbasis und Methode; Angaben im selben Medium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(K20)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Methodenblatt, Prüfvermerk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 nicht vollständig erfasst (Verpackung, Social Media, Marktplätze, Produktnamen)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Claim-Inventur aller Kanäle; Registerpflicht für jeden neuen Claim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(K13)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Claim-Register, Inventurprotokoll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Fehlerhafte oder abgelaufene Lieferantennachweise (z.B. Rezyklatanteil)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Zertifikatsprüfung bei Lieferantenfreigabe und jährlich; Nachweispflichten im Vertrag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(K15)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Zertifikatsliste mit Ablaufdaten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Produkt-, Verpackungs- oder Lieferantenänderung macht Claim unrichtig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Pflichtfrage „Claim betroffen?“ in der Änderungslenkung; Re-Validierung vor Umsetzung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(K7)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Änderungsprotokoll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Veröffentlichte Claims weichen vom freigegebenen Stand ab oder sind nicht registriert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Regelmäßiger Kanal-Scan von Website, Shop, Social Media und Marktplätzen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(K8)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Scan-Bericht mit Maßnahmen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Unberechtigte Änderungen in Web-CMS, Shop oder Social Media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Berechtigungskonzept; halbjährliche Überprüfung der Rechte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(K14)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Berechtigungsliste, Änderungsprotokoll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Nicht freigegebene Claims durch Agenturen, Influencer oder Händler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Vertragsklauseln mit Freigabevorbehalt; quartalsweise Stichprobe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(K16, K9)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Verträge, Stichprobenprotokoll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Unzulässige mündliche Aussagen in Vertrieb und Kundenservice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Kurzregel, jährliche Schulung, freigegebene Gesprächsleitfäden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(K17)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Schulungsnachweise, Leitfäden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KI-generierte Texte mit unzulässigen Claims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Negativlisten-Filter und menschliche Freigabe vor Veröffentlichung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(K18)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Filter- und Freigabeprotokoll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Fehlende Pflichtinformationen im Onlineshop (Gewährleistungshinweis, Garantie-Label, Update-Dauer, Ersatzteile)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Pflichtfelder im PIM bzw. Shop; Freischaltung nur mit vollständigen Angaben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(K10)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Datenqualitätsbericht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Falsche Haltbarkeits-, Reparatur- oder Update-Aussagen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Gate-Kriterium in der Produktentwicklung; Haltbarkeitsaussage nur mit Prüfbericht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(K21)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Gate-Protokoll, Prüfbericht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Widersprüche zwischen Nachhaltigkeitsbericht und Werbung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Konsistenzabgleich vor Veröffentlichung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(K11)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Abgleichprotokoll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Altbestände mit unzulässigen Claims (vor dem 27.09.2026 hergestellt)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Bestandsinventur und Beseitigungsplan mit monatlicher Fortschrittskontrolle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(K19)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Bestandsliste, Beseitigungsplan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Belege im Abmahnfall nicht rechtzeitig verfügbar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Abmahn-Playbook; halbjährlicher Test „Belege in 48 Stunden“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(K12, K22)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Fallakte, Testprotokoll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verbindlichen Regeln und Zuständigkeiten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Claims-Richtlinie mit GF-Beschluss und benanntem Claim-Owner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(K23)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Beschluss, Richtlinie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Kontrollen wirken nicht wie vorgesehen</w:t>
            </w:r>
          </w:p>
        </w:tc>
        <w:tc>
          <w:tcPr>
            <w:tcW w:type="dxa" w:w="36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Jährlicher Kontrolltest; Bericht an die Geschäftsleitung</w:t>
            </w:r>
            <w:r>
              <w:rPr>
                <w:rFonts w:ascii="Arial" w:cs="Arial" w:eastAsia="Arial" w:hAnsi="Arial"/>
                <w:color w:val="7F7F7F"/>
                <w:sz w:val="16"/>
                <w:szCs w:val="16"/>
              </w:rPr>
              <w:t xml:space="preserve"> (K22)</w:t>
            </w:r>
          </w:p>
        </w:tc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Testprotokolle, Bericht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7F7F7F"/>
          <w:sz w:val="16"/>
          <w:szCs w:val="16"/>
        </w:rPr>
        <w:t xml:space="preserve">Die Kennungen in Klammern (K1–K23) verweisen auf die IKS-Kontrollmatrix (Excel, 30.09.2026) mit Kontrollart, Frequenz, Verantwortung und Prüfungshandlung je Kontrolle. K1–K12 entsprechen Kap. 7.3 des Arbeitsdokuments „EmpCo in bestehenden GRC-Strukturen“. Die Kontrollen sind nicht gesetzlich vorgeschrieben; sie dienen dazu, die Pflichten aus EmpCo und UWG verlässlich zu erfüllen und nachzuweisen.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IKS-Tabelle: Risiko, Kontrolle, Nachweis</dc:title>
  <dc:creator>Interne Arbeitsgrundlage</dc:creator>
  <cp:lastModifiedBy>Un-named</cp:lastModifiedBy>
  <cp:revision>1</cp:revision>
  <dcterms:created xsi:type="dcterms:W3CDTF">2026-09-30T06:59:27.077Z</dcterms:created>
  <dcterms:modified xsi:type="dcterms:W3CDTF">2026-09-30T06:59:27.088Z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