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B27BB0" w14:textId="77777777" w:rsidR="008A7DD3" w:rsidRDefault="00000000">
      <w:r>
        <w:rPr>
          <w:rFonts w:ascii="Calibri" w:eastAsia="Calibri" w:hAnsi="Calibri" w:cs="Calibri"/>
          <w:b/>
          <w:bCs/>
          <w:color w:val="2E6F9E"/>
          <w:spacing w:val="16"/>
          <w:sz w:val="17"/>
          <w:szCs w:val="17"/>
        </w:rPr>
        <w:t>PRODUCT REQUIREMENTS DOCUMENT</w:t>
      </w:r>
    </w:p>
    <w:p w14:paraId="2D3FFD3C" w14:textId="77777777" w:rsidR="008A7DD3" w:rsidRDefault="00000000">
      <w:pPr>
        <w:spacing w:before="90"/>
      </w:pPr>
      <w:proofErr w:type="spellStart"/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TenderMind</w:t>
      </w:r>
      <w:proofErr w:type="spellEnd"/>
    </w:p>
    <w:p w14:paraId="0AE2A8AA" w14:textId="77777777" w:rsidR="008A7DD3" w:rsidRDefault="00000000">
      <w:pPr>
        <w:spacing w:before="50" w:after="140"/>
      </w:pP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 xml:space="preserve">Company Memory &amp; Tender Intelligence </w:t>
      </w:r>
      <w:proofErr w:type="gramStart"/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Platform  ·</w:t>
      </w:r>
      <w:proofErr w:type="gramEnd"/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 xml:space="preserve">  v2.0 — aligned to UI prototype</w:t>
      </w:r>
    </w:p>
    <w:tbl>
      <w:tblPr>
        <w:tblW w:w="935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275"/>
        <w:gridCol w:w="1500"/>
        <w:gridCol w:w="3075"/>
      </w:tblGrid>
      <w:tr w:rsidR="008A7DD3" w14:paraId="48B65DE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46D2846" w14:textId="77777777" w:rsidR="008A7DD3" w:rsidRDefault="00000000"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Owner</w:t>
            </w:r>
          </w:p>
        </w:tc>
        <w:tc>
          <w:tcPr>
            <w:tcW w:w="3275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AAEC6D7" w14:textId="0F7A085F" w:rsidR="008A7DD3" w:rsidRPr="002F0CA1" w:rsidRDefault="002F0CA1">
            <w:pPr>
              <w:rPr>
                <w:rFonts w:ascii="Calibri" w:hAnsi="Calibri" w:cs="Calibri"/>
              </w:rPr>
            </w:pPr>
            <w:proofErr w:type="spellStart"/>
            <w:r w:rsidRPr="002F0CA1">
              <w:rPr>
                <w:rFonts w:ascii="Calibri" w:hAnsi="Calibri" w:cs="Calibri"/>
              </w:rPr>
              <w:t>Tendermind</w:t>
            </w:r>
            <w:proofErr w:type="spellEnd"/>
            <w:r w:rsidRPr="002F0CA1">
              <w:rPr>
                <w:rFonts w:ascii="Calibri" w:hAnsi="Calibri" w:cs="Calibri"/>
              </w:rPr>
              <w:t xml:space="preserve"> team</w:t>
            </w:r>
          </w:p>
        </w:tc>
        <w:tc>
          <w:tcPr>
            <w:tcW w:w="15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E0F15E5" w14:textId="77777777" w:rsidR="008A7DD3" w:rsidRDefault="00000000"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Due</w:t>
            </w:r>
          </w:p>
        </w:tc>
        <w:tc>
          <w:tcPr>
            <w:tcW w:w="3075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3C7F2B2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Today, 3:00 PM</w:t>
            </w:r>
          </w:p>
        </w:tc>
      </w:tr>
      <w:tr w:rsidR="008A7DD3" w14:paraId="3E7E07A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73DF69C" w14:textId="77777777" w:rsidR="008A7DD3" w:rsidRDefault="00000000"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For</w:t>
            </w:r>
          </w:p>
        </w:tc>
        <w:tc>
          <w:tcPr>
            <w:tcW w:w="3275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F2A8A46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Hackathon engineering team</w:t>
            </w:r>
          </w:p>
        </w:tc>
        <w:tc>
          <w:tcPr>
            <w:tcW w:w="15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E0783D5" w14:textId="77777777" w:rsidR="008A7DD3" w:rsidRDefault="00000000"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Bidder / demo company</w:t>
            </w:r>
          </w:p>
        </w:tc>
        <w:tc>
          <w:tcPr>
            <w:tcW w:w="3075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1596B80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Northstar</w:t>
            </w:r>
          </w:p>
        </w:tc>
      </w:tr>
      <w:tr w:rsidR="008A7DD3" w14:paraId="661BA93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3F7AE8B" w14:textId="77777777" w:rsidR="008A7DD3" w:rsidRDefault="00000000"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Design ref.</w:t>
            </w:r>
          </w:p>
        </w:tc>
        <w:tc>
          <w:tcPr>
            <w:tcW w:w="3275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FEFB20F" w14:textId="77777777" w:rsidR="008A7DD3" w:rsidRDefault="00000000">
            <w:proofErr w:type="spellStart"/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TenderMind</w:t>
            </w:r>
            <w:proofErr w:type="spellEnd"/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 xml:space="preserve"> clickable prototype (this session)</w:t>
            </w:r>
          </w:p>
        </w:tc>
        <w:tc>
          <w:tcPr>
            <w:tcW w:w="15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98EBFB1" w14:textId="77777777" w:rsidR="008A7DD3" w:rsidRDefault="00000000"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Fixture tender</w:t>
            </w:r>
          </w:p>
        </w:tc>
        <w:tc>
          <w:tcPr>
            <w:tcW w:w="3075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45CC5C3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EBTSL 7187-EBTSL-0001</w:t>
            </w:r>
          </w:p>
        </w:tc>
      </w:tr>
    </w:tbl>
    <w:p w14:paraId="4E37D250" w14:textId="77777777" w:rsidR="008A7DD3" w:rsidRDefault="008A7DD3">
      <w:pPr>
        <w:pBdr>
          <w:bottom w:val="single" w:sz="6" w:space="6" w:color="1F3864"/>
        </w:pBdr>
        <w:spacing w:before="180"/>
      </w:pPr>
    </w:p>
    <w:p w14:paraId="4E8C2266" w14:textId="77777777" w:rsidR="008A7DD3" w:rsidRDefault="00000000">
      <w:pPr>
        <w:pStyle w:val="Heading1"/>
        <w:pBdr>
          <w:bottom w:val="single" w:sz="6" w:space="4" w:color="1F3864"/>
        </w:pBdr>
        <w:spacing w:before="300" w:after="13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1. What We're Building &amp; Why</w:t>
      </w:r>
    </w:p>
    <w:p w14:paraId="71108D00" w14:textId="77777777" w:rsidR="008A7DD3" w:rsidRDefault="00000000">
      <w:pPr>
        <w:spacing w:after="120" w:line="258" w:lineRule="auto"/>
      </w:pPr>
      <w:proofErr w:type="spellStart"/>
      <w:r>
        <w:rPr>
          <w:rFonts w:ascii="Calibri" w:eastAsia="Calibri" w:hAnsi="Calibri" w:cs="Calibri"/>
          <w:color w:val="262626"/>
          <w:sz w:val="19"/>
          <w:szCs w:val="19"/>
        </w:rPr>
        <w:t>TenderMind</w:t>
      </w:r>
      <w:proofErr w:type="spellEnd"/>
      <w:r>
        <w:rPr>
          <w:rFonts w:ascii="Calibri" w:eastAsia="Calibri" w:hAnsi="Calibri" w:cs="Calibri"/>
          <w:color w:val="262626"/>
          <w:sz w:val="19"/>
          <w:szCs w:val="19"/>
        </w:rPr>
        <w:t xml:space="preserve"> is built around one durable asset — Company Memory: a provenance-tracked, continuously-updated knowledge base of Northstar's own capabilities, certifications, insurance, commercial rules and past submissions. Every tender uploaded is analyzed against that memory, not against a blank slate, producing a cited Bid / No-Bid / Conditional recommendation, a requirement-by-requirement gap check, a contract risk register, a live pricing model, and drafted questionnaire answers — each traceable back to an exact source document and page.</w:t>
      </w:r>
    </w:p>
    <w:tbl>
      <w:tblPr>
        <w:tblW w:w="9350" w:type="dxa"/>
        <w:tblBorders>
          <w:top w:val="single" w:sz="4" w:space="0" w:color="B36B00"/>
          <w:left w:val="single" w:sz="24" w:space="0" w:color="B36B00"/>
          <w:bottom w:val="single" w:sz="4" w:space="0" w:color="B36B00"/>
          <w:right w:val="single" w:sz="4" w:space="0" w:color="B36B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A7DD3" w14:paraId="5EEBCF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9FB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22FE330F" w14:textId="77777777" w:rsidR="008A7DD3" w:rsidRDefault="00000000">
            <w:pPr>
              <w:spacing w:after="45"/>
            </w:pPr>
            <w:r>
              <w:rPr>
                <w:rFonts w:ascii="Calibri" w:eastAsia="Calibri" w:hAnsi="Calibri" w:cs="Calibri"/>
                <w:b/>
                <w:bCs/>
                <w:color w:val="B36B00"/>
                <w:sz w:val="19"/>
                <w:szCs w:val="19"/>
              </w:rPr>
              <w:t>What changed from v1.0</w:t>
            </w:r>
          </w:p>
          <w:p w14:paraId="0CF99C3F" w14:textId="77777777" w:rsidR="008A7DD3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The team has since built a full clickable prototype (uploaded this session). This revision replaces the earlier generic 4-agent framing with the product exactly as designed: Company Memory as the persistent core, and a per-tender workspace with 8 tabs. Scope is now split per your instruction — Company Memory and Tender Upload/Analysis are real, AI-backed builds; Marketing site and Settings &amp; Integrations are static/mock for the hackathon.</w:t>
            </w:r>
          </w:p>
        </w:tc>
      </w:tr>
    </w:tbl>
    <w:p w14:paraId="1785B2E2" w14:textId="77777777" w:rsidR="008A7DD3" w:rsidRDefault="00000000">
      <w:pPr>
        <w:pStyle w:val="Heading1"/>
        <w:pBdr>
          <w:bottom w:val="single" w:sz="6" w:space="4" w:color="1F3864"/>
        </w:pBdr>
        <w:spacing w:before="300" w:after="13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2. Scope — Build Tiers</w:t>
      </w:r>
    </w:p>
    <w:p w14:paraId="7F2C4218" w14:textId="77777777" w:rsidR="008A7DD3" w:rsidRDefault="00000000">
      <w:pPr>
        <w:pStyle w:val="Heading2"/>
        <w:spacing w:before="200" w:after="90"/>
      </w:pPr>
      <w:r>
        <w:rPr>
          <w:rFonts w:ascii="Calibri" w:eastAsia="Calibri" w:hAnsi="Calibri" w:cs="Calibri"/>
          <w:b/>
          <w:bCs/>
          <w:color w:val="2E6F9E"/>
          <w:sz w:val="21"/>
          <w:szCs w:val="21"/>
        </w:rPr>
        <w:t>Tier 1 — Real, AI-backed (hackathon must-build)</w:t>
      </w:r>
    </w:p>
    <w:p w14:paraId="5FF0832F" w14:textId="77777777" w:rsidR="008A7DD3" w:rsidRDefault="00000000">
      <w:pPr>
        <w:pStyle w:val="ListParagraph"/>
        <w:numPr>
          <w:ilvl w:val="0"/>
          <w:numId w:val="2"/>
        </w:numPr>
        <w:spacing w:after="65" w:line="250" w:lineRule="auto"/>
      </w:pPr>
      <w:r>
        <w:rPr>
          <w:rFonts w:ascii="Calibri" w:eastAsia="Calibri" w:hAnsi="Calibri" w:cs="Calibri"/>
          <w:color w:val="262626"/>
          <w:sz w:val="19"/>
          <w:szCs w:val="19"/>
        </w:rPr>
        <w:t>Company Memory: document ingestion → fact extraction with provenance → contradiction detection → coverage scoring. This is the foundation every other screen reads from.</w:t>
      </w:r>
    </w:p>
    <w:p w14:paraId="28E594A4" w14:textId="77777777" w:rsidR="008A7DD3" w:rsidRDefault="00000000">
      <w:pPr>
        <w:pStyle w:val="ListParagraph"/>
        <w:numPr>
          <w:ilvl w:val="0"/>
          <w:numId w:val="2"/>
        </w:numPr>
        <w:spacing w:after="65" w:line="250" w:lineRule="auto"/>
      </w:pPr>
      <w:r>
        <w:rPr>
          <w:rFonts w:ascii="Calibri" w:eastAsia="Calibri" w:hAnsi="Calibri" w:cs="Calibri"/>
          <w:color w:val="262626"/>
          <w:sz w:val="19"/>
          <w:szCs w:val="19"/>
        </w:rPr>
        <w:t>Tender Upload &amp; Analysis: New Tender intake → orchestrated multi-agent analysis against Company Memory → populates the Bid Pipeline list and every tab in the per-tender workspace (Overview, Requirements, Risk, Commercial, Contract, Response, Decision, Sources).</w:t>
      </w:r>
    </w:p>
    <w:p w14:paraId="0A842701" w14:textId="77777777" w:rsidR="008A7DD3" w:rsidRDefault="00000000">
      <w:pPr>
        <w:pStyle w:val="Heading2"/>
        <w:spacing w:before="200" w:after="90"/>
      </w:pPr>
      <w:r>
        <w:rPr>
          <w:rFonts w:ascii="Calibri" w:eastAsia="Calibri" w:hAnsi="Calibri" w:cs="Calibri"/>
          <w:b/>
          <w:bCs/>
          <w:color w:val="2E6F9E"/>
          <w:sz w:val="21"/>
          <w:szCs w:val="21"/>
        </w:rPr>
        <w:t>Tier 2 — Static / mock (hackathon: UI only, no backend logic)</w:t>
      </w:r>
    </w:p>
    <w:p w14:paraId="0AD91986" w14:textId="77777777" w:rsidR="008A7DD3" w:rsidRDefault="00000000">
      <w:pPr>
        <w:pStyle w:val="ListParagraph"/>
        <w:numPr>
          <w:ilvl w:val="0"/>
          <w:numId w:val="2"/>
        </w:numPr>
        <w:spacing w:after="65" w:line="250" w:lineRule="auto"/>
      </w:pPr>
      <w:r>
        <w:rPr>
          <w:rFonts w:ascii="Calibri" w:eastAsia="Calibri" w:hAnsi="Calibri" w:cs="Calibri"/>
          <w:color w:val="262626"/>
          <w:sz w:val="19"/>
          <w:szCs w:val="19"/>
        </w:rPr>
        <w:t>Marketing site (Landing, Pricing, Signup) — presentational only; no real payment or account creation needed.</w:t>
      </w:r>
    </w:p>
    <w:p w14:paraId="45B4DA15" w14:textId="77777777" w:rsidR="008A7DD3" w:rsidRDefault="00000000">
      <w:pPr>
        <w:pStyle w:val="ListParagraph"/>
        <w:numPr>
          <w:ilvl w:val="0"/>
          <w:numId w:val="2"/>
        </w:numPr>
        <w:spacing w:after="65" w:line="250" w:lineRule="auto"/>
      </w:pPr>
      <w:r>
        <w:rPr>
          <w:rFonts w:ascii="Calibri" w:eastAsia="Calibri" w:hAnsi="Calibri" w:cs="Calibri"/>
          <w:color w:val="262626"/>
          <w:sz w:val="19"/>
          <w:szCs w:val="19"/>
        </w:rPr>
        <w:t>Settings &amp; Integrations — SharePoint/Google Drive connectors, approval-rule config, SSO and audit-log panels render as static UI; no live sync or auth backend required.</w:t>
      </w:r>
    </w:p>
    <w:p w14:paraId="461F3E81" w14:textId="77777777" w:rsidR="008A7DD3" w:rsidRDefault="00000000">
      <w:pPr>
        <w:pStyle w:val="ListParagraph"/>
        <w:numPr>
          <w:ilvl w:val="0"/>
          <w:numId w:val="2"/>
        </w:numPr>
        <w:spacing w:after="65" w:line="250" w:lineRule="auto"/>
      </w:pPr>
      <w:r>
        <w:rPr>
          <w:rFonts w:ascii="Calibri" w:eastAsia="Calibri" w:hAnsi="Calibri" w:cs="Calibri"/>
          <w:color w:val="262626"/>
          <w:sz w:val="19"/>
          <w:szCs w:val="19"/>
        </w:rPr>
        <w:t>Team page — treated as a static roster for the demo (flagged as an assumption in Section 8 — say if it needs real assignment logic).</w:t>
      </w:r>
    </w:p>
    <w:p w14:paraId="37ADC3C4" w14:textId="77777777" w:rsidR="008A7DD3" w:rsidRDefault="00000000">
      <w:pPr>
        <w:spacing w:after="120" w:line="258" w:lineRule="auto"/>
      </w:pPr>
      <w:r>
        <w:rPr>
          <w:rFonts w:ascii="Calibri" w:eastAsia="Calibri" w:hAnsi="Calibri" w:cs="Calibri"/>
          <w:color w:val="262626"/>
          <w:sz w:val="19"/>
          <w:szCs w:val="19"/>
        </w:rPr>
        <w:t xml:space="preserve">Everything below is organized the same way, so engineering can see </w:t>
      </w:r>
      <w:proofErr w:type="gramStart"/>
      <w:r>
        <w:rPr>
          <w:rFonts w:ascii="Calibri" w:eastAsia="Calibri" w:hAnsi="Calibri" w:cs="Calibri"/>
          <w:color w:val="262626"/>
          <w:sz w:val="19"/>
          <w:szCs w:val="19"/>
        </w:rPr>
        <w:t>at a glance</w:t>
      </w:r>
      <w:proofErr w:type="gramEnd"/>
      <w:r>
        <w:rPr>
          <w:rFonts w:ascii="Calibri" w:eastAsia="Calibri" w:hAnsi="Calibri" w:cs="Calibri"/>
          <w:color w:val="262626"/>
          <w:sz w:val="19"/>
          <w:szCs w:val="19"/>
        </w:rPr>
        <w:t xml:space="preserve"> what needs real logic versus what needs to look right.</w:t>
      </w:r>
    </w:p>
    <w:p w14:paraId="203BF512" w14:textId="77777777" w:rsidR="008A7DD3" w:rsidRDefault="00000000">
      <w:pPr>
        <w:pStyle w:val="Heading1"/>
        <w:pBdr>
          <w:bottom w:val="single" w:sz="6" w:space="4" w:color="1F3864"/>
        </w:pBdr>
        <w:spacing w:before="300" w:after="13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3. Screen Inventory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0"/>
        <w:gridCol w:w="3100"/>
        <w:gridCol w:w="1500"/>
        <w:gridCol w:w="3200"/>
      </w:tblGrid>
      <w:tr w:rsidR="008A7DD3" w14:paraId="336ACC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0" w:type="dxa"/>
            <w:shd w:val="clear" w:color="auto" w:fill="1F3864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735763A" w14:textId="77777777" w:rsidR="008A7DD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Area</w:t>
            </w:r>
          </w:p>
        </w:tc>
        <w:tc>
          <w:tcPr>
            <w:tcW w:w="3100" w:type="dxa"/>
            <w:shd w:val="clear" w:color="auto" w:fill="1F3864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9055BE0" w14:textId="77777777" w:rsidR="008A7DD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Screen</w:t>
            </w:r>
          </w:p>
        </w:tc>
        <w:tc>
          <w:tcPr>
            <w:tcW w:w="1500" w:type="dxa"/>
            <w:shd w:val="clear" w:color="auto" w:fill="1F3864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DA25AD1" w14:textId="77777777" w:rsidR="008A7DD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Tier</w:t>
            </w:r>
          </w:p>
        </w:tc>
        <w:tc>
          <w:tcPr>
            <w:tcW w:w="3200" w:type="dxa"/>
            <w:shd w:val="clear" w:color="auto" w:fill="1F3864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882F7D7" w14:textId="77777777" w:rsidR="008A7DD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Purpose</w:t>
            </w:r>
          </w:p>
        </w:tc>
      </w:tr>
      <w:tr w:rsidR="008A7DD3" w14:paraId="2439690C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3453197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Marketing</w:t>
            </w:r>
          </w:p>
        </w:tc>
        <w:tc>
          <w:tcPr>
            <w:tcW w:w="31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08C20E2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Landing / Pricing / Signup</w:t>
            </w:r>
          </w:p>
        </w:tc>
        <w:tc>
          <w:tcPr>
            <w:tcW w:w="15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AD64C55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2 · Static</w:t>
            </w:r>
          </w:p>
        </w:tc>
        <w:tc>
          <w:tcPr>
            <w:tcW w:w="32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A3AFE44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Public-facing site</w:t>
            </w:r>
          </w:p>
        </w:tc>
      </w:tr>
      <w:tr w:rsidR="008A7DD3" w14:paraId="01AB1019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97FABE1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Workspace</w:t>
            </w:r>
          </w:p>
        </w:tc>
        <w:tc>
          <w:tcPr>
            <w:tcW w:w="310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1F1AB42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Overview</w:t>
            </w:r>
          </w:p>
        </w:tc>
        <w:tc>
          <w:tcPr>
            <w:tcW w:w="150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F43D89E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1 · Dynamic</w:t>
            </w:r>
          </w:p>
        </w:tc>
        <w:tc>
          <w:tcPr>
            <w:tcW w:w="320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8DA16D8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Cross-tender summary dashboard</w:t>
            </w:r>
          </w:p>
        </w:tc>
      </w:tr>
      <w:tr w:rsidR="008A7DD3" w14:paraId="202BD22A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A954854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lastRenderedPageBreak/>
              <w:t>Workspace</w:t>
            </w:r>
          </w:p>
        </w:tc>
        <w:tc>
          <w:tcPr>
            <w:tcW w:w="31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C048FAA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Company Memory</w:t>
            </w:r>
          </w:p>
        </w:tc>
        <w:tc>
          <w:tcPr>
            <w:tcW w:w="15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60852BD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1 · Dynamic</w:t>
            </w:r>
          </w:p>
        </w:tc>
        <w:tc>
          <w:tcPr>
            <w:tcW w:w="32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85AD862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Northstar's knowledge base — profile facts, commercial rules, memory health</w:t>
            </w:r>
          </w:p>
        </w:tc>
      </w:tr>
      <w:tr w:rsidR="008A7DD3" w14:paraId="2EE75CA8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C2A4F54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Tenders</w:t>
            </w:r>
          </w:p>
        </w:tc>
        <w:tc>
          <w:tcPr>
            <w:tcW w:w="310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E321A97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Bid Pipeline</w:t>
            </w:r>
          </w:p>
        </w:tc>
        <w:tc>
          <w:tcPr>
            <w:tcW w:w="150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332DADD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1 · Dynamic</w:t>
            </w:r>
          </w:p>
        </w:tc>
        <w:tc>
          <w:tcPr>
            <w:tcW w:w="320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103191E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List of live tenders with value, win prob., margin, risk, decision, owner</w:t>
            </w:r>
          </w:p>
        </w:tc>
      </w:tr>
      <w:tr w:rsidR="008A7DD3" w14:paraId="44DC2C33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CDA5AD1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Tenders</w:t>
            </w:r>
          </w:p>
        </w:tc>
        <w:tc>
          <w:tcPr>
            <w:tcW w:w="31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FDAF032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Commercial / Legal / Sources (rollups)</w:t>
            </w:r>
          </w:p>
        </w:tc>
        <w:tc>
          <w:tcPr>
            <w:tcW w:w="15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D3D9A22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1 · Dynamic</w:t>
            </w:r>
          </w:p>
        </w:tc>
        <w:tc>
          <w:tcPr>
            <w:tcW w:w="32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F4F00BC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Cross-tender views of the same tabs found inside each tender</w:t>
            </w:r>
          </w:p>
        </w:tc>
      </w:tr>
      <w:tr w:rsidR="008A7DD3" w14:paraId="71E9D31E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D987CC3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Tender workspace</w:t>
            </w:r>
          </w:p>
        </w:tc>
        <w:tc>
          <w:tcPr>
            <w:tcW w:w="310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DF735AE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Overview · Requirements · Risk · Commercial · Contract · Response · Decision · Sources</w:t>
            </w:r>
          </w:p>
        </w:tc>
        <w:tc>
          <w:tcPr>
            <w:tcW w:w="150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FD3432E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1 · Dynamic</w:t>
            </w:r>
          </w:p>
        </w:tc>
        <w:tc>
          <w:tcPr>
            <w:tcW w:w="320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6C51600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8-tab per-tender analysis — see Section 6.2</w:t>
            </w:r>
          </w:p>
        </w:tc>
      </w:tr>
      <w:tr w:rsidR="008A7DD3" w14:paraId="0A9E8439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2550CED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Drawers</w:t>
            </w:r>
          </w:p>
        </w:tc>
        <w:tc>
          <w:tcPr>
            <w:tcW w:w="31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3DDB0A6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Add to Company Memory · New Tender · Fact provenance</w:t>
            </w:r>
          </w:p>
        </w:tc>
        <w:tc>
          <w:tcPr>
            <w:tcW w:w="15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ACE8DE5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1 · Dynamic</w:t>
            </w:r>
          </w:p>
        </w:tc>
        <w:tc>
          <w:tcPr>
            <w:tcW w:w="32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1266FDF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The two upload flows plus the cross-cutting citation panel</w:t>
            </w:r>
          </w:p>
        </w:tc>
      </w:tr>
      <w:tr w:rsidR="008A7DD3" w14:paraId="0F7F722D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E4339BF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Org</w:t>
            </w:r>
          </w:p>
        </w:tc>
        <w:tc>
          <w:tcPr>
            <w:tcW w:w="310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40B59AE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Team &amp; approvals</w:t>
            </w:r>
          </w:p>
        </w:tc>
        <w:tc>
          <w:tcPr>
            <w:tcW w:w="150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27C6DCE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2 · Static (assumption)</w:t>
            </w:r>
          </w:p>
        </w:tc>
        <w:tc>
          <w:tcPr>
            <w:tcW w:w="320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A8D72F2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Seat roster and approval routing</w:t>
            </w:r>
          </w:p>
        </w:tc>
      </w:tr>
      <w:tr w:rsidR="008A7DD3" w14:paraId="314119B4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74BEE08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Org</w:t>
            </w:r>
          </w:p>
        </w:tc>
        <w:tc>
          <w:tcPr>
            <w:tcW w:w="31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6F77FE6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Settings &amp; integrations</w:t>
            </w:r>
          </w:p>
        </w:tc>
        <w:tc>
          <w:tcPr>
            <w:tcW w:w="15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FF26FF8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2 · Static</w:t>
            </w:r>
          </w:p>
        </w:tc>
        <w:tc>
          <w:tcPr>
            <w:tcW w:w="32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2BE7FFF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Document sources, approval rules, data &amp; security</w:t>
            </w:r>
          </w:p>
        </w:tc>
      </w:tr>
    </w:tbl>
    <w:p w14:paraId="2983CD7B" w14:textId="77777777" w:rsidR="008A7DD3" w:rsidRDefault="00000000">
      <w:pPr>
        <w:pStyle w:val="Heading1"/>
        <w:pBdr>
          <w:bottom w:val="single" w:sz="6" w:space="4" w:color="1F3864"/>
        </w:pBdr>
        <w:spacing w:before="300" w:after="13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4. Architecture</w:t>
      </w:r>
    </w:p>
    <w:p w14:paraId="406EBF46" w14:textId="77777777" w:rsidR="008A7DD3" w:rsidRDefault="00000000">
      <w:pPr>
        <w:spacing w:after="120" w:line="258" w:lineRule="auto"/>
      </w:pPr>
      <w:r>
        <w:rPr>
          <w:rFonts w:ascii="Calibri" w:eastAsia="Calibri" w:hAnsi="Calibri" w:cs="Calibri"/>
          <w:color w:val="262626"/>
          <w:sz w:val="19"/>
          <w:szCs w:val="19"/>
        </w:rPr>
        <w:t>The pipeline sketched by the team (Figure 1) still holds — it now maps onto the prototype's screens as follows. Company Memory generalizes the earlier “bid history / bidder qualification” input into a persistent, document-fed, cross-tender store that every agent reads from on every run.</w:t>
      </w:r>
    </w:p>
    <w:p w14:paraId="73ACC73A" w14:textId="77777777" w:rsidR="008A7DD3" w:rsidRDefault="00000000">
      <w:pPr>
        <w:spacing w:before="90" w:after="90"/>
        <w:jc w:val="center"/>
      </w:pPr>
      <w:r>
        <w:rPr>
          <w:noProof/>
        </w:rPr>
        <w:drawing>
          <wp:inline distT="0" distB="0" distL="0" distR="0" wp14:anchorId="64B24D32" wp14:editId="27486323">
            <wp:extent cx="2000250" cy="2724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4045D" w14:textId="77777777" w:rsidR="008A7DD3" w:rsidRDefault="00000000">
      <w:pPr>
        <w:spacing w:after="140"/>
        <w:jc w:val="center"/>
      </w:pPr>
      <w:r>
        <w:rPr>
          <w:rFonts w:ascii="Calibri" w:eastAsia="Calibri" w:hAnsi="Calibri" w:cs="Calibri"/>
          <w:i/>
          <w:iCs/>
          <w:color w:val="595959"/>
          <w:sz w:val="15"/>
          <w:szCs w:val="15"/>
        </w:rPr>
        <w:t>Figure 1 — original pipeline sketch, now mapped to product screens below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050"/>
      </w:tblGrid>
      <w:tr w:rsidR="008A7DD3" w14:paraId="5B6218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1F3864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6084D37" w14:textId="77777777" w:rsidR="008A7DD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Pipeline component</w:t>
            </w:r>
          </w:p>
        </w:tc>
        <w:tc>
          <w:tcPr>
            <w:tcW w:w="6050" w:type="dxa"/>
            <w:shd w:val="clear" w:color="auto" w:fill="1F3864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786D9E7" w14:textId="77777777" w:rsidR="008A7DD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Product surface it powers</w:t>
            </w:r>
          </w:p>
        </w:tc>
      </w:tr>
      <w:tr w:rsidR="008A7DD3" w14:paraId="5614DEA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D5C99E6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Document Ingestion → OCR → Classification → Chunk/Embed</w:t>
            </w:r>
          </w:p>
        </w:tc>
        <w:tc>
          <w:tcPr>
            <w:tcW w:w="605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488FB13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Shared by both upload flows: Add-to-Memory drawer and New-Tender drawer</w:t>
            </w:r>
          </w:p>
        </w:tc>
      </w:tr>
      <w:tr w:rsidR="008A7DD3" w14:paraId="45533BF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9AF2CFF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Orchestrator</w:t>
            </w:r>
          </w:p>
        </w:tc>
        <w:tc>
          <w:tcPr>
            <w:tcW w:w="605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05E1B89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“Analyze against Company Memory” action in the New Tender drawer</w:t>
            </w:r>
          </w:p>
        </w:tc>
      </w:tr>
      <w:tr w:rsidR="008A7DD3" w14:paraId="04AAAD7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5318EB0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Legal Agent</w:t>
            </w:r>
          </w:p>
        </w:tc>
        <w:tc>
          <w:tcPr>
            <w:tcW w:w="605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93BC2BC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Contract tab (clause viewer + AI commentary + redlines) and legal-origin entries in Risk</w:t>
            </w:r>
          </w:p>
        </w:tc>
      </w:tr>
      <w:tr w:rsidR="008A7DD3" w14:paraId="2DCF9EF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2CDA226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Civil Engineering Agent</w:t>
            </w:r>
          </w:p>
        </w:tc>
        <w:tc>
          <w:tcPr>
            <w:tcW w:w="605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5D23F35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Requirements tab (scope/technical asks vs. Northstar capability) and Overview scope narrative</w:t>
            </w:r>
          </w:p>
        </w:tc>
      </w:tr>
      <w:tr w:rsidR="008A7DD3" w14:paraId="7ECF191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111FA85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Accounting Agent + Pricing Engine</w:t>
            </w:r>
          </w:p>
        </w:tc>
        <w:tc>
          <w:tcPr>
            <w:tcW w:w="605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9C467CD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Commercial tab — True Cost model, adjustable assumptions, scenario save/compare</w:t>
            </w:r>
          </w:p>
        </w:tc>
      </w:tr>
      <w:tr w:rsidR="008A7DD3" w14:paraId="56A9C94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A0327C1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Risk Agent</w:t>
            </w:r>
          </w:p>
        </w:tc>
        <w:tc>
          <w:tcPr>
            <w:tcW w:w="605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618F633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Risk tab (Contract Risk Register) and the risk-exposure tile on Overview</w:t>
            </w:r>
          </w:p>
        </w:tc>
      </w:tr>
      <w:tr w:rsidR="008A7DD3" w14:paraId="7C1E15B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A9AD4CC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lastRenderedPageBreak/>
              <w:t>Bid Recommendation</w:t>
            </w:r>
          </w:p>
        </w:tc>
        <w:tc>
          <w:tcPr>
            <w:tcW w:w="605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0E27E90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Decision tab — recommendation, confidence score, conditions checklist, multi-party approval chain</w:t>
            </w:r>
          </w:p>
        </w:tc>
      </w:tr>
      <w:tr w:rsidR="008A7DD3" w14:paraId="70A0860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9348259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Bid History Store</w:t>
            </w:r>
          </w:p>
        </w:tc>
        <w:tc>
          <w:tcPr>
            <w:tcW w:w="605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E795AE2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Generalizes into Company Memory (capability/commercial facts) plus a comparable-submissions store that drives win-probability on Bid Pipeline</w:t>
            </w:r>
          </w:p>
        </w:tc>
      </w:tr>
      <w:tr w:rsidR="008A7DD3" w14:paraId="4E82F13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94303B9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— new in this revision —</w:t>
            </w:r>
          </w:p>
        </w:tc>
        <w:tc>
          <w:tcPr>
            <w:tcW w:w="605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AF2C52B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Response Agent: drafts questionnaire answers from Company Memory; withholds rather than fabricates when evidence is missing</w:t>
            </w:r>
          </w:p>
        </w:tc>
      </w:tr>
      <w:tr w:rsidR="008A7DD3" w14:paraId="69CC821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06CA8B8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— new in this revision —</w:t>
            </w:r>
          </w:p>
        </w:tc>
        <w:tc>
          <w:tcPr>
            <w:tcW w:w="605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391573D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Fact Provenance: cross-cutting — every fact/rule/drafted sentence anywhere in the product opens to its exact source doc + quote + location</w:t>
            </w:r>
          </w:p>
        </w:tc>
      </w:tr>
      <w:tr w:rsidR="008A7DD3" w14:paraId="687C5A8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5A6CE3E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— new in this revision —</w:t>
            </w:r>
          </w:p>
        </w:tc>
        <w:tc>
          <w:tcPr>
            <w:tcW w:w="605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B431B55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Ingestion Diff Engine: on each Company Memory upload, classifies new vs. updated vs. contradictory facts; contradictions are surfaced, never silently merged</w:t>
            </w:r>
          </w:p>
        </w:tc>
      </w:tr>
    </w:tbl>
    <w:p w14:paraId="05AAC8CA" w14:textId="77777777" w:rsidR="008A7DD3" w:rsidRDefault="00000000">
      <w:pPr>
        <w:pStyle w:val="Heading1"/>
        <w:pBdr>
          <w:bottom w:val="single" w:sz="6" w:space="4" w:color="1F3864"/>
        </w:pBdr>
        <w:spacing w:before="300" w:after="13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5. Reference Fixtures</w:t>
      </w:r>
    </w:p>
    <w:p w14:paraId="03E5A0A3" w14:textId="77777777" w:rsidR="008A7DD3" w:rsidRDefault="00000000">
      <w:pPr>
        <w:spacing w:after="120" w:line="258" w:lineRule="auto"/>
      </w:pPr>
      <w:r>
        <w:rPr>
          <w:rFonts w:ascii="Calibri" w:eastAsia="Calibri" w:hAnsi="Calibri" w:cs="Calibri"/>
          <w:color w:val="262626"/>
          <w:sz w:val="19"/>
          <w:szCs w:val="19"/>
        </w:rPr>
        <w:t>Two fixtures are available; pick one before Phase 1 starts so effort isn't split (see Section 8, Q3).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"/>
        <w:gridCol w:w="3188"/>
        <w:gridCol w:w="3912"/>
        <w:gridCol w:w="2230"/>
      </w:tblGrid>
      <w:tr w:rsidR="008A7DD3" w14:paraId="4822A0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50" w:type="dxa"/>
            <w:gridSpan w:val="2"/>
            <w:shd w:val="clear" w:color="auto" w:fill="1F3864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B5049FC" w14:textId="77777777" w:rsidR="008A7DD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Fixture</w:t>
            </w:r>
          </w:p>
        </w:tc>
        <w:tc>
          <w:tcPr>
            <w:tcW w:w="3550" w:type="dxa"/>
            <w:shd w:val="clear" w:color="auto" w:fill="1F3864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23307EF" w14:textId="77777777" w:rsidR="008A7DD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Source</w:t>
            </w:r>
          </w:p>
        </w:tc>
        <w:tc>
          <w:tcPr>
            <w:tcW w:w="2250" w:type="dxa"/>
            <w:shd w:val="clear" w:color="auto" w:fill="1F3864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AC44F4A" w14:textId="77777777" w:rsidR="008A7DD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Best for</w:t>
            </w:r>
          </w:p>
        </w:tc>
      </w:tr>
      <w:tr w:rsidR="008A7DD3" w14:paraId="6F3794B4" w14:textId="77777777">
        <w:tblPrEx>
          <w:tblCellMar>
            <w:top w:w="0" w:type="dxa"/>
            <w:bottom w:w="0" w:type="dxa"/>
          </w:tblCellMar>
        </w:tblPrEx>
        <w:tc>
          <w:tcPr>
            <w:tcW w:w="3550" w:type="dxa"/>
            <w:gridSpan w:val="2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36B87D3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EBTSL 7187-EBTSL-0001 — Salaya marine terminal EPC tender</w:t>
            </w:r>
          </w:p>
        </w:tc>
        <w:tc>
          <w:tcPr>
            <w:tcW w:w="355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F46A727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Real documents you supplied (Annexures A/B/D/F, Note.docx)</w:t>
            </w:r>
          </w:p>
        </w:tc>
        <w:tc>
          <w:tcPr>
            <w:tcW w:w="225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4878CF6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Proving extraction accuracy against real, messy source documents</w:t>
            </w:r>
          </w:p>
        </w:tc>
      </w:tr>
      <w:tr w:rsidR="008A7DD3" w14:paraId="469EA359" w14:textId="77777777">
        <w:tblPrEx>
          <w:tblCellMar>
            <w:top w:w="0" w:type="dxa"/>
            <w:bottom w:w="0" w:type="dxa"/>
          </w:tblCellMar>
        </w:tblPrEx>
        <w:tc>
          <w:tcPr>
            <w:tcW w:w="3550" w:type="dxa"/>
            <w:gridSpan w:val="2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250A757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Network Rail — Southern Region Maintenance Framework, £42M</w:t>
            </w:r>
          </w:p>
        </w:tc>
        <w:tc>
          <w:tcPr>
            <w:tcW w:w="355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B30884D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Bundled demo data already inside the prototype (612pp RFP, Commercial_Schedule.xlsx, T&amp;Cs)</w:t>
            </w:r>
          </w:p>
        </w:tc>
        <w:tc>
          <w:tcPr>
            <w:tcW w:w="225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FE9C7B0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Live demo — the UI already renders this end-to-end with realistic numbers</w:t>
            </w:r>
          </w:p>
        </w:tc>
      </w:tr>
      <w:tr w:rsidR="008A7DD3" w14:paraId="02EC881C" w14:textId="77777777">
        <w:tblPrEx>
          <w:tblBorders>
            <w:top w:val="single" w:sz="4" w:space="0" w:color="1E7B34"/>
            <w:left w:val="single" w:sz="24" w:space="0" w:color="1E7B34"/>
            <w:bottom w:val="single" w:sz="4" w:space="0" w:color="1E7B34"/>
            <w:right w:val="single" w:sz="4" w:space="0" w:color="1E7B34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0" w:type="auto"/>
            <w:gridSpan w:val="3"/>
            <w:shd w:val="clear" w:color="auto" w:fill="F7F9FB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4EED6346" w14:textId="77777777" w:rsidR="008A7DD3" w:rsidRDefault="00000000">
            <w:pPr>
              <w:spacing w:after="45"/>
            </w:pPr>
            <w:r>
              <w:rPr>
                <w:rFonts w:ascii="Calibri" w:eastAsia="Calibri" w:hAnsi="Calibri" w:cs="Calibri"/>
                <w:b/>
                <w:bCs/>
                <w:color w:val="1E7B34"/>
                <w:sz w:val="19"/>
                <w:szCs w:val="19"/>
              </w:rPr>
              <w:t>EBTSL target output (unchanged from v1.0)</w:t>
            </w:r>
          </w:p>
          <w:p w14:paraId="04065B63" w14:textId="77777777" w:rsidR="008A7DD3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 xml:space="preserve">CONDITIONAL BID — financial criteria met standalone; technical/experience criterion not met but closeable via JV/consortium (tender permits it); LD capped at 10%,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security+retention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lock</w:t>
            </w:r>
            <w:proofErr w:type="gramEnd"/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 xml:space="preserve"> up to 15% of contract value. Recommend pursuing, contingent on securing a qualifying JV partner before 07 Sep 2026.</w:t>
            </w:r>
          </w:p>
        </w:tc>
      </w:tr>
    </w:tbl>
    <w:p w14:paraId="472E54EA" w14:textId="77777777" w:rsidR="008A7DD3" w:rsidRDefault="00000000">
      <w:pPr>
        <w:pStyle w:val="Heading1"/>
        <w:pBdr>
          <w:bottom w:val="single" w:sz="6" w:space="4" w:color="1F3864"/>
        </w:pBdr>
        <w:spacing w:before="300" w:after="13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6. Functional Requirements</w:t>
      </w:r>
    </w:p>
    <w:p w14:paraId="577C7E6F" w14:textId="77777777" w:rsidR="008A7DD3" w:rsidRDefault="00000000">
      <w:pPr>
        <w:spacing w:after="120" w:line="258" w:lineRule="auto"/>
      </w:pPr>
      <w:proofErr w:type="spellStart"/>
      <w:r>
        <w:rPr>
          <w:rFonts w:ascii="Calibri" w:eastAsia="Calibri" w:hAnsi="Calibri" w:cs="Calibri"/>
          <w:color w:val="262626"/>
          <w:sz w:val="19"/>
          <w:szCs w:val="19"/>
        </w:rPr>
        <w:t>MoSCoW</w:t>
      </w:r>
      <w:proofErr w:type="spellEnd"/>
      <w:r>
        <w:rPr>
          <w:rFonts w:ascii="Calibri" w:eastAsia="Calibri" w:hAnsi="Calibri" w:cs="Calibri"/>
          <w:color w:val="262626"/>
          <w:sz w:val="19"/>
          <w:szCs w:val="19"/>
        </w:rPr>
        <w:t>-prioritized. Tier 1 sections (6.1–6.2) are the hackathon's real engineering effort. Tier 2 (6.3) is explicitly scoped down — build the pixels, skip the backend.</w:t>
      </w:r>
    </w:p>
    <w:p w14:paraId="5E0B489B" w14:textId="77777777" w:rsidR="008A7DD3" w:rsidRDefault="00000000">
      <w:pPr>
        <w:pStyle w:val="Heading2"/>
        <w:spacing w:before="200" w:after="90"/>
      </w:pPr>
      <w:r>
        <w:rPr>
          <w:rFonts w:ascii="Calibri" w:eastAsia="Calibri" w:hAnsi="Calibri" w:cs="Calibri"/>
          <w:b/>
          <w:bCs/>
          <w:color w:val="2E6F9E"/>
          <w:sz w:val="21"/>
          <w:szCs w:val="21"/>
        </w:rPr>
        <w:t>6.1 Company Memory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800"/>
        <w:gridCol w:w="1650"/>
      </w:tblGrid>
      <w:tr w:rsidR="008A7DD3" w14:paraId="736F72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1ED4BCE" w14:textId="77777777" w:rsidR="008A7DD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6800" w:type="dxa"/>
            <w:shd w:val="clear" w:color="auto" w:fill="1F3864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7821473" w14:textId="77777777" w:rsidR="008A7DD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Requirement</w:t>
            </w:r>
          </w:p>
        </w:tc>
        <w:tc>
          <w:tcPr>
            <w:tcW w:w="1650" w:type="dxa"/>
            <w:shd w:val="clear" w:color="auto" w:fill="1F3864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45747F0" w14:textId="77777777" w:rsidR="008A7DD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Pri</w:t>
            </w:r>
          </w:p>
        </w:tc>
      </w:tr>
      <w:tr w:rsidR="008A7DD3" w14:paraId="0F6EB0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58BF1BC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FR-1</w:t>
            </w:r>
          </w:p>
        </w:tc>
        <w:tc>
          <w:tcPr>
            <w:tcW w:w="68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4C57BE9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Ingest documents by drag-and-drop upload (PDF/DOCX/XLSX/PPTX/CSV). SharePoint/Drive connector buttons and “Paste text” may be UI stubs.</w:t>
            </w:r>
          </w:p>
        </w:tc>
        <w:tc>
          <w:tcPr>
            <w:tcW w:w="165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72F5F7B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Must</w:t>
            </w:r>
          </w:p>
        </w:tc>
      </w:tr>
      <w:tr w:rsidR="008A7DD3" w14:paraId="24B926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46C546E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FR-2</w:t>
            </w:r>
          </w:p>
        </w:tc>
        <w:tc>
          <w:tcPr>
            <w:tcW w:w="680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AEFB6E2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 xml:space="preserve">User tags each upload with a document type from a fixed taxonomy (e.g. Legal/contract, Commercial policy, Certification, Insurance) before </w:t>
            </w:r>
            <w:proofErr w:type="gramStart"/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ingest</w:t>
            </w:r>
            <w:proofErr w:type="gramEnd"/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.</w:t>
            </w:r>
          </w:p>
        </w:tc>
        <w:tc>
          <w:tcPr>
            <w:tcW w:w="165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947DB6A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Must</w:t>
            </w:r>
          </w:p>
        </w:tc>
      </w:tr>
      <w:tr w:rsidR="008A7DD3" w14:paraId="75F3F5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E11A61D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FR-3</w:t>
            </w:r>
          </w:p>
        </w:tc>
        <w:tc>
          <w:tcPr>
            <w:tcW w:w="68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61E901C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Extract structured profile facts (operating regions, core services, capacity, margin floor, insurance limits, certifications) — each with a source count and click-through provenance.</w:t>
            </w:r>
          </w:p>
        </w:tc>
        <w:tc>
          <w:tcPr>
            <w:tcW w:w="165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D8B5976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Must</w:t>
            </w:r>
          </w:p>
        </w:tc>
      </w:tr>
      <w:tr w:rsidR="008A7DD3" w14:paraId="1CADDE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B10F1F3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FR-4</w:t>
            </w:r>
          </w:p>
        </w:tc>
        <w:tc>
          <w:tcPr>
            <w:tcW w:w="680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41EB8D7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Extract commercial rules (min. margin, preferred/max payment terms, mobilization allowance, contingency rate, legal-review liability threshold) as machine-usable values applied automatically to every tender.</w:t>
            </w:r>
          </w:p>
        </w:tc>
        <w:tc>
          <w:tcPr>
            <w:tcW w:w="165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9A5E778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Must</w:t>
            </w:r>
          </w:p>
        </w:tc>
      </w:tr>
      <w:tr w:rsidR="008A7DD3" w14:paraId="2310A2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54B3F7D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FR-5</w:t>
            </w:r>
          </w:p>
        </w:tc>
        <w:tc>
          <w:tcPr>
            <w:tcW w:w="68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2CF86A3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On each ingest, classify every affected fact as new, updated, or contradictory versus current memory; show counts (e.g. “31 new · 6 updated · 2 contradictions”).</w:t>
            </w:r>
          </w:p>
        </w:tc>
        <w:tc>
          <w:tcPr>
            <w:tcW w:w="165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E6CE818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Must</w:t>
            </w:r>
          </w:p>
        </w:tc>
      </w:tr>
      <w:tr w:rsidR="008A7DD3" w14:paraId="0C99E4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028BBC8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FR-6</w:t>
            </w:r>
          </w:p>
        </w:tc>
        <w:tc>
          <w:tcPr>
            <w:tcW w:w="680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5B8C1CC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Contradictions are surfaced with both conflicting values and their sources side by side; user picks a resolution (e.g. “use newer policy”) — never auto-merged or averaged.</w:t>
            </w:r>
          </w:p>
        </w:tc>
        <w:tc>
          <w:tcPr>
            <w:tcW w:w="165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BEF764A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Must</w:t>
            </w:r>
          </w:p>
        </w:tc>
      </w:tr>
      <w:tr w:rsidR="008A7DD3" w14:paraId="3F631E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6D27BE5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FR-7</w:t>
            </w:r>
          </w:p>
        </w:tc>
        <w:tc>
          <w:tcPr>
            <w:tcW w:w="68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3E7BDDB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Compute overall memory coverage % and per-category coverage (Contracting, Pricing, Operational, Compliance, Cybersecurity); list missing-information gaps in plain language.</w:t>
            </w:r>
          </w:p>
        </w:tc>
        <w:tc>
          <w:tcPr>
            <w:tcW w:w="165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C6B6734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Must</w:t>
            </w:r>
          </w:p>
        </w:tc>
      </w:tr>
      <w:tr w:rsidR="008A7DD3" w14:paraId="2197E9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88CF197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lastRenderedPageBreak/>
              <w:t>FR-8</w:t>
            </w:r>
          </w:p>
        </w:tc>
        <w:tc>
          <w:tcPr>
            <w:tcW w:w="680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21D145C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Onboarding checklist (N of 6 steps complete) to guide first-time memory building; dismissible/re-openable.</w:t>
            </w:r>
          </w:p>
        </w:tc>
        <w:tc>
          <w:tcPr>
            <w:tcW w:w="165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0A2D37B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Should</w:t>
            </w:r>
          </w:p>
        </w:tc>
      </w:tr>
      <w:tr w:rsidR="008A7DD3" w14:paraId="3F1642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BD86458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FR-9</w:t>
            </w:r>
          </w:p>
        </w:tc>
        <w:tc>
          <w:tcPr>
            <w:tcW w:w="68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78E6262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Fact provenance panel: clicking any fact or rule anywhere in the product opens its exact source document(s), the quoted passage, and page/section location.</w:t>
            </w:r>
          </w:p>
        </w:tc>
        <w:tc>
          <w:tcPr>
            <w:tcW w:w="165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C60F7FB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Must</w:t>
            </w:r>
          </w:p>
        </w:tc>
      </w:tr>
    </w:tbl>
    <w:p w14:paraId="540AE503" w14:textId="77777777" w:rsidR="008A7DD3" w:rsidRDefault="00000000">
      <w:pPr>
        <w:pStyle w:val="Heading2"/>
        <w:spacing w:before="200" w:after="90"/>
      </w:pPr>
      <w:r>
        <w:rPr>
          <w:rFonts w:ascii="Calibri" w:eastAsia="Calibri" w:hAnsi="Calibri" w:cs="Calibri"/>
          <w:b/>
          <w:bCs/>
          <w:color w:val="2E6F9E"/>
          <w:sz w:val="21"/>
          <w:szCs w:val="21"/>
        </w:rPr>
        <w:t>6.2 Tender Upload &amp; Analysis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800"/>
        <w:gridCol w:w="1650"/>
      </w:tblGrid>
      <w:tr w:rsidR="008A7DD3" w14:paraId="28CCF4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1007F34" w14:textId="77777777" w:rsidR="008A7DD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6800" w:type="dxa"/>
            <w:shd w:val="clear" w:color="auto" w:fill="1F3864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B1CC2EF" w14:textId="77777777" w:rsidR="008A7DD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Requirement</w:t>
            </w:r>
          </w:p>
        </w:tc>
        <w:tc>
          <w:tcPr>
            <w:tcW w:w="1650" w:type="dxa"/>
            <w:shd w:val="clear" w:color="auto" w:fill="1F3864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96F2AE2" w14:textId="77777777" w:rsidR="008A7DD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Pri</w:t>
            </w:r>
          </w:p>
        </w:tc>
      </w:tr>
      <w:tr w:rsidR="008A7DD3" w14:paraId="66E16F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9D42D46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FR-10</w:t>
            </w:r>
          </w:p>
        </w:tc>
        <w:tc>
          <w:tcPr>
            <w:tcW w:w="68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BD9C3C0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New Tender intake: name, upload tender documents (multi-file), submission deadline, owner.</w:t>
            </w:r>
          </w:p>
        </w:tc>
        <w:tc>
          <w:tcPr>
            <w:tcW w:w="165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C37771D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Must</w:t>
            </w:r>
          </w:p>
        </w:tc>
      </w:tr>
      <w:tr w:rsidR="008A7DD3" w14:paraId="743C57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18409AA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FR-11</w:t>
            </w:r>
          </w:p>
        </w:tc>
        <w:tc>
          <w:tcPr>
            <w:tcW w:w="680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173B5F7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“Analyze against Company Memory” runs the orchestrated pipeline (Section 4) and populates all 8 tabs; show elapsed/typical-runtime feedback during the run.</w:t>
            </w:r>
          </w:p>
        </w:tc>
        <w:tc>
          <w:tcPr>
            <w:tcW w:w="165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F18C4A1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Must</w:t>
            </w:r>
          </w:p>
        </w:tc>
      </w:tr>
      <w:tr w:rsidR="008A7DD3" w14:paraId="17F650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9E5D7E9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FR-12</w:t>
            </w:r>
          </w:p>
        </w:tc>
        <w:tc>
          <w:tcPr>
            <w:tcW w:w="68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198D54C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Bid Pipeline list: tender name, buyer, deadline, value, win probability, modeled margin, risk, decision, owner — sortable.</w:t>
            </w:r>
          </w:p>
        </w:tc>
        <w:tc>
          <w:tcPr>
            <w:tcW w:w="165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F3B7B4F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Must</w:t>
            </w:r>
          </w:p>
        </w:tc>
      </w:tr>
      <w:tr w:rsidR="008A7DD3" w14:paraId="21BB86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F6BDD72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FR-13</w:t>
            </w:r>
          </w:p>
        </w:tc>
        <w:tc>
          <w:tcPr>
            <w:tcW w:w="680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81B3CC0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Win probability is derived from comparable historic submissions in Company Memory; a simple heuristic (e.g. similarity-weighted past win rate) is acceptable for the hackathon.</w:t>
            </w:r>
          </w:p>
        </w:tc>
        <w:tc>
          <w:tcPr>
            <w:tcW w:w="165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7F65F86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Should</w:t>
            </w:r>
          </w:p>
        </w:tc>
      </w:tr>
      <w:tr w:rsidR="008A7DD3" w14:paraId="32D25F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21DE909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FR-14</w:t>
            </w:r>
          </w:p>
        </w:tc>
        <w:tc>
          <w:tcPr>
            <w:tcW w:w="68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081DCE7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 xml:space="preserve">Overview tab: value / modeled margin / risk-exposure summary tiles, a </w:t>
            </w:r>
            <w:proofErr w:type="gramStart"/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short cited</w:t>
            </w:r>
            <w:proofErr w:type="gramEnd"/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 xml:space="preserve"> assessment (3–5 findings, each tagged with its memory or tender-doc source), key dates, and a discussion/comment thread.</w:t>
            </w:r>
          </w:p>
        </w:tc>
        <w:tc>
          <w:tcPr>
            <w:tcW w:w="165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1047391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Must</w:t>
            </w:r>
          </w:p>
        </w:tc>
      </w:tr>
      <w:tr w:rsidR="008A7DD3" w14:paraId="53D3EC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BB46120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FR-15</w:t>
            </w:r>
          </w:p>
        </w:tc>
        <w:tc>
          <w:tcPr>
            <w:tcW w:w="680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1FED92C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 xml:space="preserve">Requirements </w:t>
            </w:r>
            <w:proofErr w:type="gramStart"/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tab:</w:t>
            </w:r>
            <w:proofErr w:type="gramEnd"/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 xml:space="preserve"> full requirement matrix — tender ask vs. Northstar capability vs. evidence vs. status (Meets / Attention / Gap / Unknown) — filterable by status.</w:t>
            </w:r>
          </w:p>
        </w:tc>
        <w:tc>
          <w:tcPr>
            <w:tcW w:w="165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8DE50F1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Must</w:t>
            </w:r>
          </w:p>
        </w:tc>
      </w:tr>
      <w:tr w:rsidR="008A7DD3" w14:paraId="337DC2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432C6C9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FR-16</w:t>
            </w:r>
          </w:p>
        </w:tc>
        <w:tc>
          <w:tcPr>
            <w:tcW w:w="68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B00C119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Risk tab: Contract Risk Register — each flagged clause with severity, owner, financial exposure model, the clause language, comparison to Northstar's standard clause, and a suggested redline.</w:t>
            </w:r>
          </w:p>
        </w:tc>
        <w:tc>
          <w:tcPr>
            <w:tcW w:w="165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6FC98C6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Must</w:t>
            </w:r>
          </w:p>
        </w:tc>
      </w:tr>
      <w:tr w:rsidR="008A7DD3" w14:paraId="09F0E5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AA3B7B3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FR-17</w:t>
            </w:r>
          </w:p>
        </w:tc>
        <w:tc>
          <w:tcPr>
            <w:tcW w:w="680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5CB4A55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Commercial tab: True Cost model — itemized cost lines recomputed live from adjustable assumptions (</w:t>
            </w:r>
            <w:proofErr w:type="spellStart"/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labour</w:t>
            </w:r>
            <w:proofErr w:type="spellEnd"/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, materials, contingency, credits, payment terms); user can save/compare named scenarios.</w:t>
            </w:r>
          </w:p>
        </w:tc>
        <w:tc>
          <w:tcPr>
            <w:tcW w:w="165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2EF85E9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Must</w:t>
            </w:r>
          </w:p>
        </w:tc>
      </w:tr>
      <w:tr w:rsidR="008A7DD3" w14:paraId="53B78E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9ADD9F7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FR-18</w:t>
            </w:r>
          </w:p>
        </w:tc>
        <w:tc>
          <w:tcPr>
            <w:tcW w:w="68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D8FE4C6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Contract tab: clause-by-clause document viewer (</w:t>
            </w:r>
            <w:proofErr w:type="gramStart"/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left:</w:t>
            </w:r>
            <w:proofErr w:type="gramEnd"/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 xml:space="preserve"> clause list with risk flags; center: full text; right: AI commentary — assessment, deviation from standard, suggested </w:t>
            </w:r>
            <w:proofErr w:type="gramStart"/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redline</w:t>
            </w:r>
            <w:proofErr w:type="gramEnd"/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, actions).</w:t>
            </w:r>
          </w:p>
        </w:tc>
        <w:tc>
          <w:tcPr>
            <w:tcW w:w="165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4484623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Must</w:t>
            </w:r>
          </w:p>
        </w:tc>
      </w:tr>
      <w:tr w:rsidR="008A7DD3" w14:paraId="568142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3D41A32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FR-19</w:t>
            </w:r>
          </w:p>
        </w:tc>
        <w:tc>
          <w:tcPr>
            <w:tcW w:w="680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AFDCF53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Response tab: draft answers to tender questionnaire questions using only Company Memory evidence; when evidence is insufficient, withhold the draft and state what's missing rather than generating unsupported content.</w:t>
            </w:r>
          </w:p>
        </w:tc>
        <w:tc>
          <w:tcPr>
            <w:tcW w:w="165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60770DB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Must</w:t>
            </w:r>
          </w:p>
        </w:tc>
      </w:tr>
      <w:tr w:rsidR="008A7DD3" w14:paraId="0402DD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7F03404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FR-20</w:t>
            </w:r>
          </w:p>
        </w:tc>
        <w:tc>
          <w:tcPr>
            <w:tcW w:w="68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5085BB7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Decision tab: recommendation + confidence score, a decision-factor breakdown, a conditions-before-approval checklist, an Approve/Conditional/No-bid selector, and a multi-party approval chain (e.g. Legal/Finance/Ops) with per-approver status.</w:t>
            </w:r>
          </w:p>
        </w:tc>
        <w:tc>
          <w:tcPr>
            <w:tcW w:w="165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CB34249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Must</w:t>
            </w:r>
          </w:p>
        </w:tc>
      </w:tr>
      <w:tr w:rsidR="008A7DD3" w14:paraId="7C4FC7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CF10406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FR-21</w:t>
            </w:r>
          </w:p>
        </w:tc>
        <w:tc>
          <w:tcPr>
            <w:tcW w:w="680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53462B3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Sources tab: every source document with origin, page count, facts extracted, and index timestamp — the audit trail for the whole run.</w:t>
            </w:r>
          </w:p>
        </w:tc>
        <w:tc>
          <w:tcPr>
            <w:tcW w:w="165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5BB44EC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Must</w:t>
            </w:r>
          </w:p>
        </w:tc>
      </w:tr>
    </w:tbl>
    <w:p w14:paraId="1BAC5606" w14:textId="77777777" w:rsidR="008A7DD3" w:rsidRDefault="00000000">
      <w:pPr>
        <w:pStyle w:val="Heading2"/>
        <w:spacing w:before="200" w:after="90"/>
      </w:pPr>
      <w:r>
        <w:rPr>
          <w:rFonts w:ascii="Calibri" w:eastAsia="Calibri" w:hAnsi="Calibri" w:cs="Calibri"/>
          <w:b/>
          <w:bCs/>
          <w:color w:val="2E6F9E"/>
          <w:sz w:val="21"/>
          <w:szCs w:val="21"/>
        </w:rPr>
        <w:t>6.3 Marketing Site + Settings &amp; Integrations + Team (static)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800"/>
        <w:gridCol w:w="1650"/>
      </w:tblGrid>
      <w:tr w:rsidR="008A7DD3" w14:paraId="213820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D6CE8BD" w14:textId="77777777" w:rsidR="008A7DD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6800" w:type="dxa"/>
            <w:shd w:val="clear" w:color="auto" w:fill="1F3864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6297C38" w14:textId="77777777" w:rsidR="008A7DD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Requirement</w:t>
            </w:r>
          </w:p>
        </w:tc>
        <w:tc>
          <w:tcPr>
            <w:tcW w:w="1650" w:type="dxa"/>
            <w:shd w:val="clear" w:color="auto" w:fill="1F3864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08F36DA" w14:textId="77777777" w:rsidR="008A7DD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Pri</w:t>
            </w:r>
          </w:p>
        </w:tc>
      </w:tr>
      <w:tr w:rsidR="008A7DD3" w14:paraId="1060C4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134C6FD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FR-22</w:t>
            </w:r>
          </w:p>
        </w:tc>
        <w:tc>
          <w:tcPr>
            <w:tcW w:w="68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0C29234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Landing, Pricing, Signup render as static pages; no real billing or account-creation backend.</w:t>
            </w:r>
          </w:p>
        </w:tc>
        <w:tc>
          <w:tcPr>
            <w:tcW w:w="165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36FBADF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Could</w:t>
            </w:r>
          </w:p>
        </w:tc>
      </w:tr>
      <w:tr w:rsidR="008A7DD3" w14:paraId="3505FA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B509B32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FR-23</w:t>
            </w:r>
          </w:p>
        </w:tc>
        <w:tc>
          <w:tcPr>
            <w:tcW w:w="680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E5EC760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Settings shows document-source connectors, approval rules, and a data-&amp;-security panel as static content (no live SharePoint/Drive sync or SSO backend required).</w:t>
            </w:r>
          </w:p>
        </w:tc>
        <w:tc>
          <w:tcPr>
            <w:tcW w:w="165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5136B3D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Could</w:t>
            </w:r>
          </w:p>
        </w:tc>
      </w:tr>
      <w:tr w:rsidR="008A7DD3" w14:paraId="05B1AC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160081B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FR-24</w:t>
            </w:r>
          </w:p>
        </w:tc>
        <w:tc>
          <w:tcPr>
            <w:tcW w:w="68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C23CD20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Team page renders a static seat roster; no real assignment/permission logic required unless Section 8 Q1 says otherwise.</w:t>
            </w:r>
          </w:p>
        </w:tc>
        <w:tc>
          <w:tcPr>
            <w:tcW w:w="165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4810BE2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Could</w:t>
            </w:r>
          </w:p>
        </w:tc>
      </w:tr>
    </w:tbl>
    <w:p w14:paraId="0C45BE6D" w14:textId="77777777" w:rsidR="008A7DD3" w:rsidRDefault="00000000">
      <w:pPr>
        <w:pStyle w:val="Heading1"/>
        <w:pBdr>
          <w:bottom w:val="single" w:sz="6" w:space="4" w:color="1F3864"/>
        </w:pBdr>
        <w:spacing w:before="300" w:after="13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7. Non-Functional Requirements</w:t>
      </w:r>
    </w:p>
    <w:p w14:paraId="6AA719A3" w14:textId="77777777" w:rsidR="008A7DD3" w:rsidRDefault="00000000">
      <w:pPr>
        <w:pStyle w:val="ListParagraph"/>
        <w:numPr>
          <w:ilvl w:val="0"/>
          <w:numId w:val="2"/>
        </w:numPr>
        <w:spacing w:after="65" w:line="250" w:lineRule="auto"/>
      </w:pPr>
      <w:r>
        <w:rPr>
          <w:rFonts w:ascii="Calibri" w:eastAsia="Calibri" w:hAnsi="Calibri" w:cs="Calibri"/>
          <w:color w:val="262626"/>
          <w:sz w:val="19"/>
          <w:szCs w:val="19"/>
        </w:rPr>
        <w:t>Provenance is universal, not just for Legal: every fact, commercial rule, and drafted response sentence resolves to a specific source document + page/section — no exceptions, no unlabeled claims.</w:t>
      </w:r>
    </w:p>
    <w:p w14:paraId="278F6B57" w14:textId="77777777" w:rsidR="008A7DD3" w:rsidRDefault="00000000">
      <w:pPr>
        <w:pStyle w:val="ListParagraph"/>
        <w:numPr>
          <w:ilvl w:val="0"/>
          <w:numId w:val="2"/>
        </w:numPr>
        <w:spacing w:after="65" w:line="250" w:lineRule="auto"/>
      </w:pPr>
      <w:r>
        <w:rPr>
          <w:rFonts w:ascii="Calibri" w:eastAsia="Calibri" w:hAnsi="Calibri" w:cs="Calibri"/>
          <w:color w:val="262626"/>
          <w:sz w:val="19"/>
          <w:szCs w:val="19"/>
        </w:rPr>
        <w:t>Contradictions are surfaced, never silently resolved — Company Memory must never merge or average conflicting source values without a human decision.</w:t>
      </w:r>
    </w:p>
    <w:p w14:paraId="4415BC60" w14:textId="77777777" w:rsidR="008A7DD3" w:rsidRDefault="00000000">
      <w:pPr>
        <w:pStyle w:val="ListParagraph"/>
        <w:numPr>
          <w:ilvl w:val="0"/>
          <w:numId w:val="2"/>
        </w:numPr>
        <w:spacing w:after="65" w:line="250" w:lineRule="auto"/>
      </w:pPr>
      <w:r>
        <w:rPr>
          <w:rFonts w:ascii="Calibri" w:eastAsia="Calibri" w:hAnsi="Calibri" w:cs="Calibri"/>
          <w:color w:val="262626"/>
          <w:sz w:val="19"/>
          <w:szCs w:val="19"/>
        </w:rPr>
        <w:lastRenderedPageBreak/>
        <w:t>Response drafting withholds rather than fabricates — an answer with insufficient Company Memory evidence is marked “insufficient evidence,” not generated.</w:t>
      </w:r>
    </w:p>
    <w:p w14:paraId="10E88B91" w14:textId="77777777" w:rsidR="008A7DD3" w:rsidRDefault="00000000">
      <w:pPr>
        <w:pStyle w:val="ListParagraph"/>
        <w:numPr>
          <w:ilvl w:val="0"/>
          <w:numId w:val="2"/>
        </w:numPr>
        <w:spacing w:after="65" w:line="250" w:lineRule="auto"/>
      </w:pPr>
      <w:r>
        <w:rPr>
          <w:rFonts w:ascii="Calibri" w:eastAsia="Calibri" w:hAnsi="Calibri" w:cs="Calibri"/>
          <w:color w:val="262626"/>
          <w:sz w:val="19"/>
          <w:szCs w:val="19"/>
        </w:rPr>
        <w:t xml:space="preserve">All currency/percentage/threshold math (True Cost, LD exposure, retention) is deterministic, never LLM </w:t>
      </w:r>
      <w:proofErr w:type="gramStart"/>
      <w:r>
        <w:rPr>
          <w:rFonts w:ascii="Calibri" w:eastAsia="Calibri" w:hAnsi="Calibri" w:cs="Calibri"/>
          <w:color w:val="262626"/>
          <w:sz w:val="19"/>
          <w:szCs w:val="19"/>
        </w:rPr>
        <w:t>free-form</w:t>
      </w:r>
      <w:proofErr w:type="gramEnd"/>
      <w:r>
        <w:rPr>
          <w:rFonts w:ascii="Calibri" w:eastAsia="Calibri" w:hAnsi="Calibri" w:cs="Calibri"/>
          <w:color w:val="262626"/>
          <w:sz w:val="19"/>
          <w:szCs w:val="19"/>
        </w:rPr>
        <w:t>.</w:t>
      </w:r>
    </w:p>
    <w:p w14:paraId="443EE13D" w14:textId="77777777" w:rsidR="008A7DD3" w:rsidRDefault="00000000">
      <w:pPr>
        <w:pStyle w:val="ListParagraph"/>
        <w:numPr>
          <w:ilvl w:val="0"/>
          <w:numId w:val="2"/>
        </w:numPr>
        <w:spacing w:after="65" w:line="250" w:lineRule="auto"/>
      </w:pPr>
      <w:r>
        <w:rPr>
          <w:rFonts w:ascii="Calibri" w:eastAsia="Calibri" w:hAnsi="Calibri" w:cs="Calibri"/>
          <w:color w:val="262626"/>
          <w:sz w:val="19"/>
          <w:szCs w:val="19"/>
        </w:rPr>
        <w:t>Company Memory and every tender run are isolated per workspace/tenant; one agent failure degrades gracefully rather than blocking the run.</w:t>
      </w:r>
    </w:p>
    <w:p w14:paraId="3B53B767" w14:textId="77777777" w:rsidR="008A7DD3" w:rsidRDefault="00000000">
      <w:pPr>
        <w:pStyle w:val="Heading1"/>
        <w:pBdr>
          <w:bottom w:val="single" w:sz="6" w:space="4" w:color="1F3864"/>
        </w:pBdr>
        <w:spacing w:before="300" w:after="13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8. Build Order (cut from the bottom if time is short)</w:t>
      </w:r>
    </w:p>
    <w:p w14:paraId="15AFC6E2" w14:textId="77777777" w:rsidR="008A7DD3" w:rsidRDefault="00000000">
      <w:pPr>
        <w:pStyle w:val="ListParagraph"/>
        <w:numPr>
          <w:ilvl w:val="0"/>
          <w:numId w:val="3"/>
        </w:numPr>
        <w:spacing w:after="65" w:line="250" w:lineRule="auto"/>
      </w:pPr>
      <w:r>
        <w:rPr>
          <w:rFonts w:ascii="Calibri" w:eastAsia="Calibri" w:hAnsi="Calibri" w:cs="Calibri"/>
          <w:color w:val="262626"/>
          <w:sz w:val="19"/>
          <w:szCs w:val="19"/>
        </w:rPr>
        <w:t>Company Memory ingestion — upload, classify, extract facts + commercial rules, provenance panel, coverage scoring. Nothing else works without this.</w:t>
      </w:r>
    </w:p>
    <w:p w14:paraId="136D8520" w14:textId="77777777" w:rsidR="008A7DD3" w:rsidRDefault="00000000">
      <w:pPr>
        <w:pStyle w:val="ListParagraph"/>
        <w:numPr>
          <w:ilvl w:val="0"/>
          <w:numId w:val="3"/>
        </w:numPr>
        <w:spacing w:after="65" w:line="250" w:lineRule="auto"/>
      </w:pPr>
      <w:r>
        <w:rPr>
          <w:rFonts w:ascii="Calibri" w:eastAsia="Calibri" w:hAnsi="Calibri" w:cs="Calibri"/>
          <w:color w:val="262626"/>
          <w:sz w:val="19"/>
          <w:szCs w:val="19"/>
        </w:rPr>
        <w:t>New Tender intake + orchestrated analysis producing Overview, Requirements, and Risk tabs — the core decision-support value.</w:t>
      </w:r>
    </w:p>
    <w:p w14:paraId="6B98D8DD" w14:textId="77777777" w:rsidR="008A7DD3" w:rsidRDefault="00000000">
      <w:pPr>
        <w:pStyle w:val="ListParagraph"/>
        <w:numPr>
          <w:ilvl w:val="0"/>
          <w:numId w:val="3"/>
        </w:numPr>
        <w:spacing w:after="65" w:line="250" w:lineRule="auto"/>
      </w:pPr>
      <w:r>
        <w:rPr>
          <w:rFonts w:ascii="Calibri" w:eastAsia="Calibri" w:hAnsi="Calibri" w:cs="Calibri"/>
          <w:color w:val="262626"/>
          <w:sz w:val="19"/>
          <w:szCs w:val="19"/>
        </w:rPr>
        <w:t>Commercial tab (True Cost model) + Contract tab (clause viewer/redlines).</w:t>
      </w:r>
    </w:p>
    <w:p w14:paraId="61C497FC" w14:textId="77777777" w:rsidR="008A7DD3" w:rsidRDefault="00000000">
      <w:pPr>
        <w:pStyle w:val="ListParagraph"/>
        <w:numPr>
          <w:ilvl w:val="0"/>
          <w:numId w:val="3"/>
        </w:numPr>
        <w:spacing w:after="65" w:line="250" w:lineRule="auto"/>
      </w:pPr>
      <w:r>
        <w:rPr>
          <w:rFonts w:ascii="Calibri" w:eastAsia="Calibri" w:hAnsi="Calibri" w:cs="Calibri"/>
          <w:color w:val="262626"/>
          <w:sz w:val="19"/>
          <w:szCs w:val="19"/>
        </w:rPr>
        <w:t>Response tab (drafting with withhold-on-insufficient-evidence) + Decision tab (recommendation + approval chain).</w:t>
      </w:r>
    </w:p>
    <w:p w14:paraId="4E078892" w14:textId="77777777" w:rsidR="008A7DD3" w:rsidRDefault="00000000">
      <w:pPr>
        <w:pStyle w:val="ListParagraph"/>
        <w:numPr>
          <w:ilvl w:val="0"/>
          <w:numId w:val="3"/>
        </w:numPr>
        <w:spacing w:after="65" w:line="250" w:lineRule="auto"/>
      </w:pPr>
      <w:r>
        <w:rPr>
          <w:rFonts w:ascii="Calibri" w:eastAsia="Calibri" w:hAnsi="Calibri" w:cs="Calibri"/>
          <w:color w:val="262626"/>
          <w:sz w:val="19"/>
          <w:szCs w:val="19"/>
        </w:rPr>
        <w:t>Bid Pipeline list + Sources tab + contradiction-detection polish on ingest.</w:t>
      </w:r>
    </w:p>
    <w:p w14:paraId="120F23B5" w14:textId="77777777" w:rsidR="008A7DD3" w:rsidRDefault="00000000">
      <w:pPr>
        <w:pStyle w:val="ListParagraph"/>
        <w:numPr>
          <w:ilvl w:val="0"/>
          <w:numId w:val="3"/>
        </w:numPr>
        <w:spacing w:after="65" w:line="250" w:lineRule="auto"/>
      </w:pPr>
      <w:r>
        <w:rPr>
          <w:rFonts w:ascii="Calibri" w:eastAsia="Calibri" w:hAnsi="Calibri" w:cs="Calibri"/>
          <w:color w:val="262626"/>
          <w:sz w:val="19"/>
          <w:szCs w:val="19"/>
        </w:rPr>
        <w:t>Only if time remains: Marketing site + Settings &amp; Integrations + Team static pixels.</w:t>
      </w:r>
    </w:p>
    <w:tbl>
      <w:tblPr>
        <w:tblW w:w="9350" w:type="dxa"/>
        <w:tblBorders>
          <w:top w:val="single" w:sz="4" w:space="0" w:color="2E6F9E"/>
          <w:left w:val="single" w:sz="24" w:space="0" w:color="2E6F9E"/>
          <w:bottom w:val="single" w:sz="4" w:space="0" w:color="2E6F9E"/>
          <w:right w:val="single" w:sz="4" w:space="0" w:color="2E6F9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A7DD3" w14:paraId="737324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9FB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69D981FC" w14:textId="77777777" w:rsidR="008A7DD3" w:rsidRDefault="00000000">
            <w:pPr>
              <w:spacing w:after="45"/>
            </w:pPr>
            <w:r>
              <w:rPr>
                <w:rFonts w:ascii="Calibri" w:eastAsia="Calibri" w:hAnsi="Calibri" w:cs="Calibri"/>
                <w:b/>
                <w:bCs/>
                <w:color w:val="2E6F9E"/>
                <w:sz w:val="19"/>
                <w:szCs w:val="19"/>
              </w:rPr>
              <w:t>Demo pass bar</w:t>
            </w:r>
          </w:p>
          <w:p w14:paraId="585C9955" w14:textId="77777777" w:rsidR="008A7DD3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Company Memory is pre-loaded and shows real coverage/gap data; a new tender upload runs end-to-end against it; the Overview, Requirements, Risk, and Decision tabs show cited, non-generic findings a judge can click through to source. Clicking any fact opens real provenance — that single interaction is the clearest proof this isn't a templated demo.</w:t>
            </w:r>
          </w:p>
        </w:tc>
      </w:tr>
    </w:tbl>
    <w:p w14:paraId="23419073" w14:textId="77777777" w:rsidR="008A7DD3" w:rsidRDefault="00000000">
      <w:pPr>
        <w:pStyle w:val="Heading1"/>
        <w:pBdr>
          <w:bottom w:val="single" w:sz="6" w:space="4" w:color="1F3864"/>
        </w:pBdr>
        <w:spacing w:before="300" w:after="13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9. Open Questions</w:t>
      </w:r>
    </w:p>
    <w:tbl>
      <w:tblPr>
        <w:tblW w:w="92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650"/>
        <w:gridCol w:w="2100"/>
      </w:tblGrid>
      <w:tr w:rsidR="008A7DD3" w14:paraId="7A346B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3864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54F5B47" w14:textId="77777777" w:rsidR="008A7DD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6650" w:type="dxa"/>
            <w:shd w:val="clear" w:color="auto" w:fill="1F3864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06D81EA" w14:textId="77777777" w:rsidR="008A7DD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Question</w:t>
            </w:r>
          </w:p>
        </w:tc>
        <w:tc>
          <w:tcPr>
            <w:tcW w:w="2100" w:type="dxa"/>
            <w:shd w:val="clear" w:color="auto" w:fill="1F3864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41DE705" w14:textId="77777777" w:rsidR="008A7DD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Owner</w:t>
            </w:r>
          </w:p>
        </w:tc>
      </w:tr>
      <w:tr w:rsidR="008A7DD3" w14:paraId="16FCE5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8179DA4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1</w:t>
            </w:r>
          </w:p>
        </w:tc>
        <w:tc>
          <w:tcPr>
            <w:tcW w:w="665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D076914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Team page: confirm static roster is acceptable, or does it need real seat/assignment/permission logic?</w:t>
            </w:r>
          </w:p>
        </w:tc>
        <w:tc>
          <w:tcPr>
            <w:tcW w:w="21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0570F90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Product</w:t>
            </w:r>
          </w:p>
        </w:tc>
      </w:tr>
      <w:tr w:rsidR="008A7DD3" w14:paraId="76F0CD2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EF75F98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2</w:t>
            </w:r>
          </w:p>
        </w:tc>
        <w:tc>
          <w:tcPr>
            <w:tcW w:w="665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31B495F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Settings connectors (SharePoint/Drive): pure UI stub okay, or does at least file-upload-via-connector need to work?</w:t>
            </w:r>
          </w:p>
        </w:tc>
        <w:tc>
          <w:tcPr>
            <w:tcW w:w="210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8DAA4CA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Product</w:t>
            </w:r>
          </w:p>
        </w:tc>
      </w:tr>
      <w:tr w:rsidR="008A7DD3" w14:paraId="55885E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EFAF6B6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3</w:t>
            </w:r>
          </w:p>
        </w:tc>
        <w:tc>
          <w:tcPr>
            <w:tcW w:w="665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CD757BE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Which fixture to demo on — EBTSL (real docs, proves extraction) or the prototype's bundled Network Rail data (already wired in the UI)? Pick one to avoid split effort.</w:t>
            </w:r>
          </w:p>
        </w:tc>
        <w:tc>
          <w:tcPr>
            <w:tcW w:w="21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C4DF3A1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Product</w:t>
            </w:r>
          </w:p>
        </w:tc>
      </w:tr>
      <w:tr w:rsidR="008A7DD3" w14:paraId="3F73E69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BB1520C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4</w:t>
            </w:r>
          </w:p>
        </w:tc>
        <w:tc>
          <w:tcPr>
            <w:tcW w:w="665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CA58867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Win-probability model (FR-13): heuristic acceptable for hackathon, or is a real comparable-submissions match required?</w:t>
            </w:r>
          </w:p>
        </w:tc>
        <w:tc>
          <w:tcPr>
            <w:tcW w:w="2100" w:type="dxa"/>
            <w:shd w:val="clear" w:color="auto" w:fill="F2F6F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56E9C6D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Eng</w:t>
            </w:r>
          </w:p>
        </w:tc>
      </w:tr>
      <w:tr w:rsidR="008A7DD3" w14:paraId="0CD1DF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C627617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5</w:t>
            </w:r>
          </w:p>
        </w:tc>
        <w:tc>
          <w:tcPr>
            <w:tcW w:w="665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8592985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OCR/embedding/LLM provider choice — engineering's call; only hard constraints are FR-9 (provenance) and FR-6 (contradictions surfaced, not merged).</w:t>
            </w:r>
          </w:p>
        </w:tc>
        <w:tc>
          <w:tcPr>
            <w:tcW w:w="210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F9AB301" w14:textId="77777777" w:rsidR="008A7DD3" w:rsidRDefault="00000000">
            <w:r>
              <w:rPr>
                <w:rFonts w:ascii="Calibri" w:eastAsia="Calibri" w:hAnsi="Calibri" w:cs="Calibri"/>
                <w:color w:val="262626"/>
                <w:sz w:val="17"/>
                <w:szCs w:val="17"/>
              </w:rPr>
              <w:t>Eng</w:t>
            </w:r>
          </w:p>
        </w:tc>
      </w:tr>
    </w:tbl>
    <w:p w14:paraId="6A694CC0" w14:textId="77777777" w:rsidR="00DB074C" w:rsidRDefault="00DB074C"/>
    <w:sectPr w:rsidR="00DB074C">
      <w:headerReference w:type="default" r:id="rId8"/>
      <w:footerReference w:type="default" r:id="rId9"/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57EA01" w14:textId="77777777" w:rsidR="00DB074C" w:rsidRDefault="00DB074C">
      <w:r>
        <w:separator/>
      </w:r>
    </w:p>
  </w:endnote>
  <w:endnote w:type="continuationSeparator" w:id="0">
    <w:p w14:paraId="2DCAC247" w14:textId="77777777" w:rsidR="00DB074C" w:rsidRDefault="00DB07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80F2DA" w14:textId="77777777" w:rsidR="008A7DD3" w:rsidRDefault="00000000">
    <w:pPr>
      <w:jc w:val="center"/>
    </w:pPr>
    <w:r>
      <w:rPr>
        <w:rFonts w:ascii="Calibri" w:eastAsia="Calibri" w:hAnsi="Calibri" w:cs="Calibri"/>
        <w:color w:val="8C8C8C"/>
        <w:sz w:val="15"/>
        <w:szCs w:val="15"/>
      </w:rPr>
      <w:t xml:space="preserve">Page </w:t>
    </w:r>
    <w:r>
      <w:rPr>
        <w:rFonts w:ascii="Calibri" w:eastAsia="Calibri" w:hAnsi="Calibri" w:cs="Calibri"/>
        <w:color w:val="8C8C8C"/>
        <w:sz w:val="15"/>
        <w:szCs w:val="15"/>
      </w:rPr>
      <w:fldChar w:fldCharType="begin"/>
    </w:r>
    <w:r>
      <w:rPr>
        <w:rFonts w:ascii="Calibri" w:eastAsia="Calibri" w:hAnsi="Calibri" w:cs="Calibri"/>
        <w:color w:val="8C8C8C"/>
        <w:sz w:val="15"/>
        <w:szCs w:val="15"/>
      </w:rPr>
      <w:instrText>PAGE</w:instrText>
    </w:r>
    <w:r>
      <w:rPr>
        <w:rFonts w:ascii="Calibri" w:eastAsia="Calibri" w:hAnsi="Calibri" w:cs="Calibri"/>
        <w:color w:val="8C8C8C"/>
        <w:sz w:val="15"/>
        <w:szCs w:val="15"/>
      </w:rPr>
      <w:fldChar w:fldCharType="separate"/>
    </w:r>
    <w:r w:rsidR="002F0CA1">
      <w:rPr>
        <w:rFonts w:ascii="Calibri" w:eastAsia="Calibri" w:hAnsi="Calibri" w:cs="Calibri"/>
        <w:noProof/>
        <w:color w:val="8C8C8C"/>
        <w:sz w:val="15"/>
        <w:szCs w:val="15"/>
      </w:rPr>
      <w:t>1</w:t>
    </w:r>
    <w:r>
      <w:rPr>
        <w:rFonts w:ascii="Calibri" w:eastAsia="Calibri" w:hAnsi="Calibri" w:cs="Calibri"/>
        <w:color w:val="8C8C8C"/>
        <w:sz w:val="15"/>
        <w:szCs w:val="15"/>
      </w:rPr>
      <w:fldChar w:fldCharType="end"/>
    </w:r>
    <w:r>
      <w:rPr>
        <w:rFonts w:ascii="Calibri" w:eastAsia="Calibri" w:hAnsi="Calibri" w:cs="Calibri"/>
        <w:color w:val="8C8C8C"/>
        <w:sz w:val="15"/>
        <w:szCs w:val="15"/>
      </w:rPr>
      <w:t xml:space="preserve"> of </w:t>
    </w:r>
    <w:r>
      <w:rPr>
        <w:rFonts w:ascii="Calibri" w:eastAsia="Calibri" w:hAnsi="Calibri" w:cs="Calibri"/>
        <w:color w:val="8C8C8C"/>
        <w:sz w:val="15"/>
        <w:szCs w:val="15"/>
      </w:rPr>
      <w:fldChar w:fldCharType="begin"/>
    </w:r>
    <w:r>
      <w:rPr>
        <w:rFonts w:ascii="Calibri" w:eastAsia="Calibri" w:hAnsi="Calibri" w:cs="Calibri"/>
        <w:color w:val="8C8C8C"/>
        <w:sz w:val="15"/>
        <w:szCs w:val="15"/>
      </w:rPr>
      <w:instrText>NUMPAGES</w:instrText>
    </w:r>
    <w:r>
      <w:rPr>
        <w:rFonts w:ascii="Calibri" w:eastAsia="Calibri" w:hAnsi="Calibri" w:cs="Calibri"/>
        <w:color w:val="8C8C8C"/>
        <w:sz w:val="15"/>
        <w:szCs w:val="15"/>
      </w:rPr>
      <w:fldChar w:fldCharType="separate"/>
    </w:r>
    <w:r w:rsidR="002F0CA1">
      <w:rPr>
        <w:rFonts w:ascii="Calibri" w:eastAsia="Calibri" w:hAnsi="Calibri" w:cs="Calibri"/>
        <w:noProof/>
        <w:color w:val="8C8C8C"/>
        <w:sz w:val="15"/>
        <w:szCs w:val="15"/>
      </w:rPr>
      <w:t>2</w:t>
    </w:r>
    <w:r>
      <w:rPr>
        <w:rFonts w:ascii="Calibri" w:eastAsia="Calibri" w:hAnsi="Calibri" w:cs="Calibri"/>
        <w:color w:val="8C8C8C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8D5CB5" w14:textId="77777777" w:rsidR="00DB074C" w:rsidRDefault="00DB074C">
      <w:r>
        <w:separator/>
      </w:r>
    </w:p>
  </w:footnote>
  <w:footnote w:type="continuationSeparator" w:id="0">
    <w:p w14:paraId="51215113" w14:textId="77777777" w:rsidR="00DB074C" w:rsidRDefault="00DB07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52B1A8" w14:textId="77777777" w:rsidR="008A7DD3" w:rsidRDefault="00000000">
    <w:pPr>
      <w:pBdr>
        <w:bottom w:val="single" w:sz="4" w:space="4" w:color="D9D9D9"/>
      </w:pBdr>
      <w:jc w:val="right"/>
    </w:pPr>
    <w:proofErr w:type="spellStart"/>
    <w:r>
      <w:rPr>
        <w:rFonts w:ascii="Calibri" w:eastAsia="Calibri" w:hAnsi="Calibri" w:cs="Calibri"/>
        <w:color w:val="8C8C8C"/>
        <w:sz w:val="15"/>
        <w:szCs w:val="15"/>
      </w:rPr>
      <w:t>TenderMind</w:t>
    </w:r>
    <w:proofErr w:type="spellEnd"/>
    <w:r>
      <w:rPr>
        <w:rFonts w:ascii="Calibri" w:eastAsia="Calibri" w:hAnsi="Calibri" w:cs="Calibri"/>
        <w:color w:val="8C8C8C"/>
        <w:sz w:val="15"/>
        <w:szCs w:val="15"/>
      </w:rPr>
      <w:t xml:space="preserve"> — PRD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1E3528B"/>
    <w:multiLevelType w:val="hybridMultilevel"/>
    <w:tmpl w:val="A878AEA4"/>
    <w:lvl w:ilvl="0" w:tplc="7AF6BEE4">
      <w:start w:val="1"/>
      <w:numFmt w:val="bullet"/>
      <w:lvlText w:val="●"/>
      <w:lvlJc w:val="left"/>
      <w:pPr>
        <w:ind w:left="720" w:hanging="360"/>
      </w:pPr>
    </w:lvl>
    <w:lvl w:ilvl="1" w:tplc="A202ACB8">
      <w:start w:val="1"/>
      <w:numFmt w:val="bullet"/>
      <w:lvlText w:val="○"/>
      <w:lvlJc w:val="left"/>
      <w:pPr>
        <w:ind w:left="1440" w:hanging="360"/>
      </w:pPr>
    </w:lvl>
    <w:lvl w:ilvl="2" w:tplc="8EE69D7E">
      <w:start w:val="1"/>
      <w:numFmt w:val="bullet"/>
      <w:lvlText w:val="■"/>
      <w:lvlJc w:val="left"/>
      <w:pPr>
        <w:ind w:left="2160" w:hanging="360"/>
      </w:pPr>
    </w:lvl>
    <w:lvl w:ilvl="3" w:tplc="7C903C74">
      <w:start w:val="1"/>
      <w:numFmt w:val="bullet"/>
      <w:lvlText w:val="●"/>
      <w:lvlJc w:val="left"/>
      <w:pPr>
        <w:ind w:left="2880" w:hanging="360"/>
      </w:pPr>
    </w:lvl>
    <w:lvl w:ilvl="4" w:tplc="96FA7762">
      <w:start w:val="1"/>
      <w:numFmt w:val="bullet"/>
      <w:lvlText w:val="○"/>
      <w:lvlJc w:val="left"/>
      <w:pPr>
        <w:ind w:left="3600" w:hanging="360"/>
      </w:pPr>
    </w:lvl>
    <w:lvl w:ilvl="5" w:tplc="52E45E26">
      <w:start w:val="1"/>
      <w:numFmt w:val="bullet"/>
      <w:lvlText w:val="■"/>
      <w:lvlJc w:val="left"/>
      <w:pPr>
        <w:ind w:left="4320" w:hanging="360"/>
      </w:pPr>
    </w:lvl>
    <w:lvl w:ilvl="6" w:tplc="4AA4EE84">
      <w:start w:val="1"/>
      <w:numFmt w:val="bullet"/>
      <w:lvlText w:val="●"/>
      <w:lvlJc w:val="left"/>
      <w:pPr>
        <w:ind w:left="5040" w:hanging="360"/>
      </w:pPr>
    </w:lvl>
    <w:lvl w:ilvl="7" w:tplc="C8304F3C">
      <w:start w:val="1"/>
      <w:numFmt w:val="bullet"/>
      <w:lvlText w:val="●"/>
      <w:lvlJc w:val="left"/>
      <w:pPr>
        <w:ind w:left="5760" w:hanging="360"/>
      </w:pPr>
    </w:lvl>
    <w:lvl w:ilvl="8" w:tplc="11F8A8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85042F"/>
    <w:multiLevelType w:val="hybridMultilevel"/>
    <w:tmpl w:val="72B05ECC"/>
    <w:lvl w:ilvl="0" w:tplc="10DC2352">
      <w:start w:val="1"/>
      <w:numFmt w:val="decimal"/>
      <w:lvlText w:val="%1."/>
      <w:lvlJc w:val="left"/>
      <w:pPr>
        <w:ind w:left="320" w:hanging="220"/>
      </w:pPr>
    </w:lvl>
    <w:lvl w:ilvl="1" w:tplc="78D4F14E">
      <w:numFmt w:val="decimal"/>
      <w:lvlText w:val=""/>
      <w:lvlJc w:val="left"/>
    </w:lvl>
    <w:lvl w:ilvl="2" w:tplc="F744ABB6">
      <w:numFmt w:val="decimal"/>
      <w:lvlText w:val=""/>
      <w:lvlJc w:val="left"/>
    </w:lvl>
    <w:lvl w:ilvl="3" w:tplc="09BCC2D6">
      <w:numFmt w:val="decimal"/>
      <w:lvlText w:val=""/>
      <w:lvlJc w:val="left"/>
    </w:lvl>
    <w:lvl w:ilvl="4" w:tplc="139CB3B2">
      <w:numFmt w:val="decimal"/>
      <w:lvlText w:val=""/>
      <w:lvlJc w:val="left"/>
    </w:lvl>
    <w:lvl w:ilvl="5" w:tplc="2D7EA252">
      <w:numFmt w:val="decimal"/>
      <w:lvlText w:val=""/>
      <w:lvlJc w:val="left"/>
    </w:lvl>
    <w:lvl w:ilvl="6" w:tplc="C13A7E0E">
      <w:numFmt w:val="decimal"/>
      <w:lvlText w:val=""/>
      <w:lvlJc w:val="left"/>
    </w:lvl>
    <w:lvl w:ilvl="7" w:tplc="7F206612">
      <w:numFmt w:val="decimal"/>
      <w:lvlText w:val=""/>
      <w:lvlJc w:val="left"/>
    </w:lvl>
    <w:lvl w:ilvl="8" w:tplc="283AB406">
      <w:numFmt w:val="decimal"/>
      <w:lvlText w:val=""/>
      <w:lvlJc w:val="left"/>
    </w:lvl>
  </w:abstractNum>
  <w:abstractNum w:abstractNumId="2" w15:restartNumberingAfterBreak="0">
    <w:nsid w:val="7A240A73"/>
    <w:multiLevelType w:val="hybridMultilevel"/>
    <w:tmpl w:val="1B666326"/>
    <w:lvl w:ilvl="0" w:tplc="1096C364">
      <w:start w:val="1"/>
      <w:numFmt w:val="bullet"/>
      <w:lvlText w:val="•"/>
      <w:lvlJc w:val="left"/>
      <w:pPr>
        <w:ind w:left="320" w:hanging="220"/>
      </w:pPr>
    </w:lvl>
    <w:lvl w:ilvl="1" w:tplc="9022FA52">
      <w:numFmt w:val="decimal"/>
      <w:lvlText w:val=""/>
      <w:lvlJc w:val="left"/>
    </w:lvl>
    <w:lvl w:ilvl="2" w:tplc="E654A12C">
      <w:numFmt w:val="decimal"/>
      <w:lvlText w:val=""/>
      <w:lvlJc w:val="left"/>
    </w:lvl>
    <w:lvl w:ilvl="3" w:tplc="8D707D5A">
      <w:numFmt w:val="decimal"/>
      <w:lvlText w:val=""/>
      <w:lvlJc w:val="left"/>
    </w:lvl>
    <w:lvl w:ilvl="4" w:tplc="625AA420">
      <w:numFmt w:val="decimal"/>
      <w:lvlText w:val=""/>
      <w:lvlJc w:val="left"/>
    </w:lvl>
    <w:lvl w:ilvl="5" w:tplc="CA3E4C8E">
      <w:numFmt w:val="decimal"/>
      <w:lvlText w:val=""/>
      <w:lvlJc w:val="left"/>
    </w:lvl>
    <w:lvl w:ilvl="6" w:tplc="33B8A6C2">
      <w:numFmt w:val="decimal"/>
      <w:lvlText w:val=""/>
      <w:lvlJc w:val="left"/>
    </w:lvl>
    <w:lvl w:ilvl="7" w:tplc="14AAFEB6">
      <w:numFmt w:val="decimal"/>
      <w:lvlText w:val=""/>
      <w:lvlJc w:val="left"/>
    </w:lvl>
    <w:lvl w:ilvl="8" w:tplc="24702F3E">
      <w:numFmt w:val="decimal"/>
      <w:lvlText w:val=""/>
      <w:lvlJc w:val="left"/>
    </w:lvl>
  </w:abstractNum>
  <w:num w:numId="1" w16cid:durableId="1199120401">
    <w:abstractNumId w:val="0"/>
    <w:lvlOverride w:ilvl="0">
      <w:startOverride w:val="1"/>
    </w:lvlOverride>
  </w:num>
  <w:num w:numId="2" w16cid:durableId="1769426018">
    <w:abstractNumId w:val="2"/>
    <w:lvlOverride w:ilvl="0">
      <w:startOverride w:val="1"/>
    </w:lvlOverride>
  </w:num>
  <w:num w:numId="3" w16cid:durableId="6773154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DD3"/>
    <w:rsid w:val="002F0CA1"/>
    <w:rsid w:val="00384BCC"/>
    <w:rsid w:val="008A7DD3"/>
    <w:rsid w:val="00DB0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4C0CA4"/>
  <w15:docId w15:val="{F7586AC3-7B79-A945-A755-4863D6697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1986</Words>
  <Characters>11324</Characters>
  <Application>Microsoft Office Word</Application>
  <DocSecurity>0</DocSecurity>
  <Lines>94</Lines>
  <Paragraphs>26</Paragraphs>
  <ScaleCrop>false</ScaleCrop>
  <Company/>
  <LinksUpToDate>false</LinksUpToDate>
  <CharactersWithSpaces>13284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— TenderMind</dc:title>
  <dc:creator>Ajith</dc:creator>
  <cp:lastModifiedBy>Suresh, Ajith</cp:lastModifiedBy>
  <cp:revision>2</cp:revision>
  <dcterms:created xsi:type="dcterms:W3CDTF">2026-08-22T19:31:00Z</dcterms:created>
  <dcterms:modified xsi:type="dcterms:W3CDTF">2026-08-22T19:48:00Z</dcterms:modified>
</cp:coreProperties>
</file>