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Northstar Labs Employee Benefits</w:t>
      </w:r>
    </w:p>
    <w:p>
      <w:pPr>
        <w:spacing w:after="200"/>
      </w:pPr>
      <w:r>
        <w:rPr>
          <w:color w:val="505050"/>
          <w:sz w:val="24"/>
        </w:rPr>
        <w:t>Benefits available to eligible full time employees</w:t>
      </w:r>
    </w:p>
    <w:p>
      <w:pPr>
        <w:spacing w:after="100" w:line="252" w:lineRule="auto"/>
      </w:pPr>
      <w:r>
        <w:t>This guide summarizes the health, wellbeing, and professional development benefits offered by Northstar Labs. It applies from 1 September 2026 and replaces earlier benefit summaries.</w:t>
      </w:r>
    </w:p>
    <w:p>
      <w:pPr>
        <w:pStyle w:val="Heading1"/>
        <w:spacing w:before="160" w:after="80"/>
      </w:pPr>
      <w:r>
        <w:t>Health coverage</w:t>
      </w:r>
    </w:p>
    <w:p>
      <w:pPr>
        <w:spacing w:after="100" w:line="252" w:lineRule="auto"/>
      </w:pPr>
      <w:r>
        <w:t>Corporate medical insurance begins on the first calendar day of the month following successful completion of probation. The plan includes outpatient care, emergency dental treatment, and telemedicine consultations.</w:t>
      </w:r>
    </w:p>
    <w:p>
      <w:pPr>
        <w:spacing w:after="100" w:line="252" w:lineRule="auto"/>
      </w:pPr>
      <w:r>
        <w:t>The mental health program covers 8 confidential sessions with an approved psychologist per calendar year. Unused sessions do not carry over to the next year.</w:t>
      </w:r>
    </w:p>
    <w:p>
      <w:pPr>
        <w:pStyle w:val="Heading1"/>
        <w:spacing w:before="160" w:after="80"/>
      </w:pPr>
      <w:r>
        <w:t>Wellness days</w:t>
      </w:r>
    </w:p>
    <w:p>
      <w:pPr>
        <w:spacing w:after="100" w:line="252" w:lineRule="auto"/>
      </w:pPr>
      <w:r>
        <w:t>Each employee receives 4 paid wellness days per calendar year in addition to annual vacation. A wellness day may be taken without a medical certificate, but the employee must notify the manager before the normal start of the working day. Unused wellness days expire on 31 December and cannot be carried over.</w:t>
      </w:r>
    </w:p>
    <w:p>
      <w:pPr>
        <w:pStyle w:val="Heading1"/>
        <w:spacing w:before="160" w:after="80"/>
      </w:pPr>
      <w:r>
        <w:t>Professional development</w:t>
      </w:r>
    </w:p>
    <w:p>
      <w:pPr>
        <w:spacing w:after="100" w:line="252" w:lineRule="auto"/>
      </w:pPr>
      <w:r>
        <w:t>The annual professional development budget is 85,000 RUB per employee. Eligible expenses include technical courses, professional conferences, certification examinations, and role-related books.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c>
          <w:tcPr>
            <w:tcW w:type="dxa" w:w="49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9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Policy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Approval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Written manager approval is required before purchase.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r>
              <w:t>Documents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r>
              <w:t>Receipts and completion evidence must be submitted within 30 calendar days after course completion.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Repayment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Costs above the annual limit are the employee’s responsibility unless separately approved by the department director.</w:t>
            </w:r>
          </w:p>
        </w:tc>
      </w:tr>
    </w:tbl>
    <w:p>
      <w:pPr>
        <w:pStyle w:val="Heading1"/>
        <w:spacing w:before="160" w:after="80"/>
      </w:pPr>
      <w:r>
        <w:t>Equipment allowance</w:t>
      </w:r>
    </w:p>
    <w:p>
      <w:pPr>
        <w:spacing w:after="100" w:line="252" w:lineRule="auto"/>
      </w:pPr>
      <w:r>
        <w:t>Remote employees may claim up to 25,000 RUB once every three calendar years for an ergonomic chair, external monitor, keyboard, or headset. Mobile phones and decorative items are not eligible.</w:t>
      </w:r>
    </w:p>
    <w:p>
      <w:pPr>
        <w:pStyle w:val="Heading1"/>
        <w:spacing w:before="160" w:after="80"/>
      </w:pPr>
      <w:r>
        <w:t>Questions</w:t>
      </w:r>
    </w:p>
    <w:p>
      <w:pPr>
        <w:spacing w:after="100" w:line="252" w:lineRule="auto"/>
      </w:pPr>
      <w:r>
        <w:t>Benefit questions should be sent to people-ops@northstar.example. Individual medical details must not be sent by email.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Labs Employee Benefits</dc:title>
  <dc:subject>Synthetic RAG test document</dc:subject>
  <dc:creator>Northstar 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