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theadKicker"/>
      </w:pPr>
      <w:r>
        <w:t>TECHNICAL FINDINGS • GUIDANCE MIGRATION • CODEBASE AUDIT</w:t>
      </w:r>
    </w:p>
    <w:p>
      <w:pPr>
        <w:pStyle w:val="MastheadTitle"/>
      </w:pPr>
      <w:r>
        <w:t>Illumo Agent Context and Codebase Audit</w:t>
      </w:r>
    </w:p>
    <w:p>
      <w:pPr>
        <w:pStyle w:val="MastheadSubtitle"/>
      </w:pPr>
      <w:r>
        <w:t>Operational-guidance migration, documentation synchronization, and exhaustive first-party engineering review</w:t>
      </w:r>
    </w:p>
    <w:p>
      <w:pPr>
        <w:pStyle w:val="MastheadMetadata"/>
      </w:pPr>
      <w:r>
        <w:rPr>
          <w:b/>
        </w:rPr>
        <w:t xml:space="preserve">To: </w:t>
      </w:r>
      <w:r>
        <w:t>Illumo repository owner</w:t>
      </w:r>
    </w:p>
    <w:p>
      <w:pPr>
        <w:pStyle w:val="MastheadMetadata"/>
      </w:pPr>
      <w:r>
        <w:rPr>
          <w:b/>
        </w:rPr>
        <w:t xml:space="preserve">From: </w:t>
      </w:r>
      <w:r>
        <w:t>Codex engineering audit</w:t>
      </w:r>
    </w:p>
    <w:p>
      <w:pPr>
        <w:pStyle w:val="MastheadMetadata"/>
      </w:pPr>
      <w:r>
        <w:rPr>
          <w:b/>
        </w:rPr>
        <w:t xml:space="preserve">Review date: </w:t>
      </w:r>
      <w:r>
        <w:t>August 10, 2026</w:t>
      </w:r>
    </w:p>
    <w:p>
      <w:pPr>
        <w:pStyle w:val="MastheadMetadata"/>
      </w:pPr>
      <w:r>
        <w:rPr>
          <w:b/>
        </w:rPr>
        <w:t xml:space="preserve">Revision: </w:t>
      </w:r>
      <w:r>
        <w:t>Detached HEAD eae3c4fc2b6e379f9030735b60e3948026fc9f36</w:t>
      </w:r>
    </w:p>
    <w:p>
      <w:pPr>
        <w:pStyle w:val="MastheadMetadata"/>
      </w:pPr>
      <w:r>
        <w:rPr>
          <w:b/>
        </w:rPr>
        <w:t xml:space="preserve">Scope: </w:t>
      </w:r>
      <w:r>
        <w:t>First-party source, shaders, build/configuration, tests, current documentation, and operational guidance</w:t>
      </w:r>
    </w:p>
    <w:p>
      <w:pPr>
        <w:pStyle w:val="MastheadMetadata"/>
      </w:pPr>
      <w:r>
        <w:rPr>
          <w:b/>
        </w:rPr>
        <w:t xml:space="preserve">Status: </w:t>
      </w:r>
      <w:r>
        <w:t>Guidance/documentation migration complete; production source unchanged; interactive GUI acceptance partially blocked</w:t>
      </w:r>
    </w:p>
    <w:p>
      <w:pPr>
        <w:pStyle w:val="MastheadMetadata"/>
        <w:pBdr>
          <w:bottom w:val="single" w:sz="18" w:space="8" w:color="1F4D78"/>
        </w:pBdr>
      </w:pPr>
    </w:p>
    <w:p>
      <w:pPr>
        <w:pStyle w:val="Heading1"/>
      </w:pPr>
      <w:r>
        <w:t>1. Executive summary</w:t>
      </w:r>
    </w:p>
    <w:p>
      <w:r>
        <w:t>The guidance migration is complete: the two supplied scaffolds were moved verbatim into .agent/reference, the root AGENTS.md was rebuilt as durable repository bootstrap guidance, and all 15 supplied subsystem AGENTS.md files now specialize that root. Canonical technical documentation remains under docs through new decision D-DOC2. Confirmed documentation drift was corrected without modifying production C++, Objective-C++, or GLSL.</w:t>
      </w:r>
    </w:p>
    <w:p>
      <w:r>
        <w:t>The Windows/MSVC path passed all 136 Release and Debug CTest cases. The strongest risks cluster around OpenGL resource replacement, command-queue overflow, extreme-coordinate arithmetic, CanvasView growth failure, save overwrite, input bounds, and the Windows Save dialog. Linux and macOS remain unsupported stale bootstraps.</w:t>
      </w:r>
    </w:p>
    <w:p>
      <w:pPr>
        <w:pStyle w:val="Callout"/>
        <w:ind w:left="259" w:right="259"/>
        <w:shd w:fill="F4F6F9"/>
      </w:pPr>
      <w:r>
        <w:t>Bottom line: the architecture is sound. Prioritize failure-path correctness and resource lifetime over expansion.</w:t>
      </w:r>
    </w:p>
    <w:p>
      <w:pPr>
        <w:pStyle w:val="TableCitation"/>
        <w:keepNext/>
      </w:pPr>
      <w:r>
        <w:t>Audit basis: live checkout and verification evidence recorded in this report.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92"/>
        <w:gridCol w:w="6624"/>
      </w:tblGrid>
      <w:tr>
        <w:trPr>
          <w:tblHeader w:val="true"/>
          <w:cantSplit/>
        </w:trPr>
        <w:tc>
          <w:tcPr>
            <w:tcW w:type="dxa" w:w="1944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Classification</w:t>
            </w:r>
          </w:p>
        </w:tc>
        <w:tc>
          <w:tcPr>
            <w:tcW w:type="dxa" w:w="792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Count</w:t>
            </w:r>
          </w:p>
        </w:tc>
        <w:tc>
          <w:tcPr>
            <w:tcW w:type="dxa" w:w="6624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Interpretation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Critical</w:t>
            </w:r>
          </w:p>
        </w:tc>
        <w:tc>
          <w:tcPr>
            <w:tcW w:type="dxa" w:w="792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662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No immediate catastrophic defect confirmed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792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662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Material correctness, data-loss, memory, or core workflow risk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Medium</w:t>
            </w:r>
          </w:p>
        </w:tc>
        <w:tc>
          <w:tcPr>
            <w:tcW w:type="dxa" w:w="792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22</w:t>
            </w:r>
          </w:p>
        </w:tc>
        <w:tc>
          <w:tcPr>
            <w:tcW w:type="dxa" w:w="662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Real defect or support gap with bounded trigger/impact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Low</w:t>
            </w:r>
          </w:p>
        </w:tc>
        <w:tc>
          <w:tcPr>
            <w:tcW w:type="dxa" w:w="792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662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Latent contract, hygiene, or narrow-path risk</w:t>
            </w:r>
          </w:p>
        </w:tc>
      </w:tr>
      <w:tr>
        <w:trPr>
          <w:cantSplit/>
        </w:trPr>
        <w:tc>
          <w:tcPr>
            <w:tcW w:type="dxa" w:w="19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Observation</w:t>
            </w:r>
          </w:p>
        </w:tc>
        <w:tc>
          <w:tcPr>
            <w:tcW w:type="dxa" w:w="792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662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Measured context or validation limitation</w:t>
            </w:r>
          </w:p>
        </w:tc>
      </w:tr>
    </w:tbl>
    <w:p>
      <w:pPr>
        <w:pStyle w:val="Heading1"/>
      </w:pPr>
      <w:r>
        <w:t>2. Methodology, scope, and limitations</w:t>
      </w:r>
    </w:p>
    <w:p>
      <w:pPr>
        <w:pStyle w:val="Heading2"/>
      </w:pPr>
      <w:r>
        <w:t>2.1 Review scope</w:t>
      </w:r>
    </w:p>
    <w:p>
      <w:r>
        <w:t>The review covered every first-party C++ header/source and Objective-C++ file under Illumo/Source, every GLSL file under Illumo/Shader, first-party CMake/configuration, all current tests, and current Markdown/LaTeX/document-build sources at detached HEAD eae3c4fc2b6e. The resulting inventory is 143 first-party C++/Objective-C++ files (19 in Tests), four GLSL shaders, 41 current documentation source/support files under docs, 16 active guidance files, four live first-party CMake files, and two root configuration files. Vendored code and archive material received provenance/boundary checks only.</w:t>
      </w:r>
    </w:p>
    <w:p>
      <w:pPr>
        <w:pStyle w:val="Heading2"/>
      </w:pPr>
      <w:r>
        <w:t>2.2 Review method</w:t>
      </w:r>
    </w:p>
    <w:p>
      <w:pPr>
        <w:pStyle w:val="ListBullet"/>
      </w:pPr>
      <w:r>
        <w:t>Read canonical Markdown and the rebuilt 44-page design book before reconciling claims against live source, tests, CMake, and runtime behavior.</w:t>
      </w:r>
    </w:p>
    <w:p>
      <w:pPr>
        <w:pStyle w:val="ListBullet"/>
      </w:pPr>
      <w:r>
        <w:t>Traced subsystem responsibility, dependency direction, ownership, lifetime, threading, error propagation, compatibility, and test seams; deep-reviewed simulation, rendering/token lifetime, registries, module lifecycle, command parsing, allocators, persistence, native dialogs/bootstrap, shaders, and test isolation.</w:t>
      </w:r>
    </w:p>
    <w:p>
      <w:pPr>
        <w:pStyle w:val="ListBullet"/>
      </w:pPr>
      <w:r>
        <w:t>Built an evidence ledger that distinguishes observed facts from bounded inferences. Severity reflects actual impact and trigger conditions; performance claims are limited to measurements taken on this checkout and machine.</w:t>
      </w:r>
    </w:p>
    <w:p>
      <w:pPr>
        <w:pStyle w:val="ListBullet"/>
      </w:pPr>
      <w:r>
        <w:t>Ran Release/Debug MSVC builds and CTest, Clang/Ninja coverage configuration and target, first-party clang-tidy across the compile database, both simulation microbenchmarks, process-level Windows startup/shutdown smoke, documentation rebuild, and visual PDF QA.</w:t>
      </w:r>
    </w:p>
    <w:p>
      <w:pPr>
        <w:pStyle w:val="Heading2"/>
      </w:pPr>
      <w:r>
        <w:t>2.3 Limitations</w:t>
      </w:r>
    </w:p>
    <w:p>
      <w:pPr>
        <w:pStyle w:val="ListBullet"/>
      </w:pPr>
      <w:r>
        <w:t>Linux and macOS conclusions are static because those hosts were unavailable.</w:t>
      </w:r>
    </w:p>
    <w:p>
      <w:pPr>
        <w:pStyle w:val="ListBullet"/>
      </w:pPr>
      <w:r>
        <w:t>Clang coverage and complete clang-tidy analysis were blocked by confirmed first-party Clang compile incompatibilities; no coverage percentage or denominator is reported.</w:t>
      </w:r>
    </w:p>
    <w:p>
      <w:pPr>
        <w:pStyle w:val="ListBullet"/>
      </w:pPr>
      <w:r>
        <w:t>Supported Windows UI control failed with GetCursorPos access denied. Release/Debug window creation and clean shutdown were verified, but interaction, dialogs, and pixels were not.</w:t>
      </w:r>
    </w:p>
    <w:p>
      <w:pPr>
        <w:pStyle w:val="ListBullet"/>
      </w:pPr>
      <w:r>
        <w:t>No historical benchmark comparison is made because older measurements came from other environments.</w:t>
      </w:r>
    </w:p>
    <w:p>
      <w:pPr>
        <w:pStyle w:val="Heading1"/>
      </w:pPr>
      <w:r>
        <w:t>3. Guidance migration and documentation corrections</w:t>
      </w:r>
    </w:p>
    <w:p>
      <w:pPr>
        <w:pStyle w:val="Heading2"/>
      </w:pPr>
      <w:r>
        <w:t>3.1 Operational-guidance hierarchy</w:t>
      </w:r>
    </w:p>
    <w:p>
      <w:r>
        <w:t>PROJECT_AGENTS_TEMPLATE.md and MIGRATION_GUIDE.md were moved without content changes to .agent/reference/PROJECT_AGENTS_TEMPLATE.md and .agent/reference/MIGRATION_GUIDE.md. Their SHA-256 values after the move are 669AD3C7E5D0E6853123B6A2EAACC763A0F8C6EAA6D667CDB94A82085F566B7E and 41831FAF950C9B545697DB1FCFD8A13383DC0870AF624443F92F2FFBB304C784, respectively.</w:t>
      </w:r>
    </w:p>
    <w:p>
      <w:r>
        <w:t>The root AGENTS.md now contains project identity/non-goals, canonical routing, exact configure/build/test/coverage/document commands, cross-project invariants, completion checks, .agent/PLANS.md routing, and the nested-guidance map. It deliberately avoids the long implementation catalog now owned by docs.</w:t>
      </w:r>
    </w:p>
    <w:p>
      <w:r>
        <w:t>Fifteen child files now specialize App, Engine, Foundation, Game, Rulesets, Services, Tests, Platform, Windows, Linux, macOS, Rendering, OpenGL, Mock, and Primitives. Validation found 16 active guidance files, zero TODO/template placeholders, zero missing referenced repository paths, and zero child specialization/inheritance failures.</w:t>
      </w:r>
    </w:p>
    <w:p>
      <w:pPr>
        <w:pStyle w:val="Heading2"/>
      </w:pPr>
      <w:r>
        <w:t>3.2 Canonical documentation decision and drift corrections</w:t>
      </w:r>
    </w:p>
    <w:p>
      <w:pPr>
        <w:pStyle w:val="ListBullet"/>
      </w:pPr>
      <w:r>
        <w:t>Added D-DOC2 to docs/architecture-consensus.md and the formal LaTeX decision log: docs remains canonical technical documentation; root/nested AGENTS.md and .agent/ are operational exceptions.</w:t>
      </w:r>
    </w:p>
    <w:p>
      <w:pPr>
        <w:pStyle w:val="ListBullet"/>
      </w:pPr>
      <w:r>
        <w:t>Corrected the nonexistent Illumo/Source/Assets package to the real runtime Illumo/Assets tree.</w:t>
      </w:r>
    </w:p>
    <w:p>
      <w:pPr>
        <w:pStyle w:val="ListBullet"/>
      </w:pPr>
      <w:r>
        <w:t>Corrected Linux/macOS status to unsupported stale bootstrap scaffolding; recorded missing current APIs and macOS Objective-C++ enablement.</w:t>
      </w:r>
    </w:p>
    <w:p>
      <w:pPr>
        <w:pStyle w:val="ListBullet"/>
      </w:pPr>
      <w:r>
        <w:t>Aligned Renderer terminology with its backend-neutral IBackend dependency and CanvasView with its world-space, cell-aligned quad.</w:t>
      </w:r>
    </w:p>
    <w:p>
      <w:pPr>
        <w:pStyle w:val="ListBullet"/>
      </w:pPr>
      <w:r>
        <w:t>Aligned console batch capacity to 8,000 UI quads and current test count to 136; synchronized source maps, dates, and platform limitations.</w:t>
      </w:r>
    </w:p>
    <w:p>
      <w:pPr>
        <w:pStyle w:val="ListBullet"/>
      </w:pPr>
      <w:r>
        <w:t>Preserved dated session records and superseded decisions as history rather than rewriting them into present tense.</w:t>
      </w:r>
    </w:p>
    <w:p>
      <w:pPr>
        <w:pStyle w:val="Heading2"/>
      </w:pPr>
      <w:r>
        <w:t>3.3 Documentation build quality</w:t>
      </w:r>
    </w:p>
    <w:p>
      <w:r>
        <w:t>docs/build.ps1 completed successfully after the migration. docs/output/illumo.pdf is 44 pages and docs/output/architecture-map.pdf is eight pages. All 52 rendered pages were reviewed; affected decision, build, source-map, platform, and architecture pages showed no clipping, overlap, missing glyphs, broken tables, or new layout defects. Remaining large overfull warnings belong to preserved historical session material rather than the migrated current-state sections.</w:t>
      </w:r>
    </w:p>
    <w:p>
      <w:pPr>
        <w:pStyle w:val="Heading1"/>
      </w:pPr>
      <w:r>
        <w:t>4. Architecture and dependency overview</w:t>
      </w:r>
    </w:p>
    <w:p>
      <w:r>
        <w:t>Illumo is a small C++23 modular monolith. Platform entry hands argc/argv to App/CellMain; App composes CellGameModule and DebugModule (Debug only); Engine/Illumo owns long-lived services and module lifetime; Game and Rulesets own cellular-automata state/behavior; Rendering converts Drawable::AppendCommands into RenderCommand tokens; IBackend executes through OpenGL in production or MockBackend in tests.</w:t>
      </w:r>
    </w:p>
    <w:p>
      <w:pPr>
        <w:pStyle w:val="Heading2"/>
      </w:pPr>
      <w:r>
        <w:t>4.1 Ownership and lifetime</w:t>
      </w:r>
    </w:p>
    <w:p>
      <w:pPr>
        <w:pStyle w:val="ListBullet"/>
      </w:pPr>
      <w:r>
        <w:t>Illumo owns services and modules with unique_ptr; IllumoContext is a non-owning service bag. StartModules removes modules whose Start returns false before update/render, avoiding the previously documented failed-start hazard.</w:t>
      </w:r>
    </w:p>
    <w:p>
      <w:pPr>
        <w:pStyle w:val="ListBullet"/>
      </w:pPr>
      <w:r>
        <w:t>Scene is rebuilt each frame and holds ordered, non-owning Drawable pointers. Token payload pointers must remain valid through synchronous SubmitCommandQueue.</w:t>
      </w:r>
    </w:p>
    <w:p>
      <w:pPr>
        <w:pStyle w:val="ListBullet"/>
      </w:pPr>
      <w:r>
        <w:t>SparseCellGrid owns the production domain; legacy CellGrid/Canvas remain compatibility fixtures. CellContext still uses raw unique ownership internally, which is captured as ARC-001.</w:t>
      </w:r>
    </w:p>
    <w:p>
      <w:pPr>
        <w:pStyle w:val="Heading2"/>
      </w:pPr>
      <w:r>
        <w:t>4.2 Threading and synchronization</w:t>
      </w:r>
    </w:p>
    <w:p>
      <w:pPr>
        <w:pStyle w:val="ListBullet"/>
      </w:pPr>
      <w:r>
        <w:t>The main thread owns input, camera, module update, presentation rebuild, token emission, and GL submission.</w:t>
      </w:r>
    </w:p>
    <w:p>
      <w:pPr>
        <w:pStyle w:val="ListBullet"/>
      </w:pPr>
      <w:r>
        <w:t>SparseCellGrid retains worker pools and blocks the caller until disjoint target/candidate ranges complete. Dense compatibility RuleSet creates per-generation threads.</w:t>
      </w:r>
    </w:p>
    <w:p>
      <w:pPr>
        <w:pStyle w:val="ListBullet"/>
      </w:pPr>
      <w:r>
        <w:t>No independent simulation publication thread exists; determinism is protected by transactional next-generation maps and ordered merges.</w:t>
      </w:r>
    </w:p>
    <w:p>
      <w:pPr>
        <w:pStyle w:val="Heading2"/>
      </w:pPr>
      <w:r>
        <w:t>4.3 Compatibility and persistence</w:t>
      </w:r>
    </w:p>
    <w:p>
      <w:pPr>
        <w:pStyle w:val="ListBullet"/>
      </w:pPr>
      <w:r>
        <w:t>Saves write sparse version 2; loads accept version 2 and the prior dense format.</w:t>
      </w:r>
    </w:p>
    <w:p>
      <w:pPr>
        <w:pStyle w:val="ListBullet"/>
      </w:pPr>
      <w:r>
        <w:t>Loads parse into temporary state and swap only after validation, protecting the active grid from malformed input.</w:t>
      </w:r>
    </w:p>
    <w:p>
      <w:pPr>
        <w:pStyle w:val="ListBullet"/>
      </w:pPr>
      <w:r>
        <w:t>Windows/OpenGL/GLFW is the only verified production path; portability scaffolds are not product support claims.</w:t>
      </w:r>
    </w:p>
    <w:p>
      <w:pPr>
        <w:pStyle w:val="Heading1"/>
      </w:pPr>
      <w:r>
        <w:t>5. Strengths</w:t>
      </w:r>
    </w:p>
    <w:p>
      <w:pPr>
        <w:pStyle w:val="ListBullet"/>
      </w:pPr>
      <w:r>
        <w:t>Clear product composition: App selects modules; Engine remains product-agnostic and removes failed starters before frame dispatch.</w:t>
      </w:r>
    </w:p>
    <w:p>
      <w:pPr>
        <w:pStyle w:val="ListBullet"/>
      </w:pPr>
      <w:r>
        <w:t>Backend-neutral Renderer and MockBackend keep game/rules code independent of raw OpenGL and enable broad headless token-path tests.</w:t>
      </w:r>
    </w:p>
    <w:p>
      <w:pPr>
        <w:pStyle w:val="ListBullet"/>
      </w:pPr>
      <w:r>
        <w:t>Sparse simulation has explicit occupancy/counting semantics, deterministic transition tables, retained scratch/node reuse, bounded worker counts, and adaptive candidate/halo/frontier paths.</w:t>
      </w:r>
    </w:p>
    <w:p>
      <w:pPr>
        <w:pStyle w:val="ListBullet"/>
      </w:pPr>
      <w:r>
        <w:t>Persistence load is transactional: parsing/allocation complete against temporary state before ruleset/grid/camera presentation commit.</w:t>
      </w:r>
    </w:p>
    <w:p>
      <w:pPr>
        <w:pStyle w:val="ListBullet"/>
      </w:pPr>
      <w:r>
        <w:t>The default build integrates granular process-isolated tests and documentation, reducing the chance that one monolithic test result or stale design book masks drift.</w:t>
      </w:r>
    </w:p>
    <w:p>
      <w:pPr>
        <w:pStyle w:val="ListBullet"/>
      </w:pPr>
      <w:r>
        <w:t>Release and Debug each passed 136/136 tests; Debug also exercised the configured ASan-linked test build.</w:t>
      </w:r>
    </w:p>
    <w:p>
      <w:pPr>
        <w:pStyle w:val="ListBullet"/>
      </w:pPr>
      <w:r>
        <w:t>Documentation has a formal decision catalog, package maps, generated prose book, architecture chart pack, and now a clean separation between technical truth and operational agent guidance.</w:t>
      </w:r>
    </w:p>
    <w:p>
      <w:pPr>
        <w:pStyle w:val="ListBullet"/>
      </w:pPr>
      <w:r>
        <w:t>The measured sparse paths demonstrate meaningful specialization: local frontier and candidate paths avoid broad work, while broad dense workloads benefit from bounded parallelism.</w:t>
      </w:r>
    </w:p>
    <w:p>
      <w:pPr>
        <w:pStyle w:val="Heading1"/>
      </w:pPr>
      <w:r>
        <w:t>6. Complete categorized finding register</w:t>
      </w:r>
    </w:p>
    <w:p>
      <w:pPr>
        <w:pStyle w:val="Heading2"/>
      </w:pPr>
      <w:r>
        <w:t>Rendering and GPU resources</w:t>
      </w:r>
    </w:p>
    <w:p>
      <w:pPr>
        <w:pStyle w:val="Heading3"/>
      </w:pPr>
      <w:r>
        <w:t>RND-001 — Replacing a registered resource leaks the prior OpenGL object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GLBackend.cpp:151-153, 167-176, and 207-216 replace unique_ptr registry entries by handle. GLMesh.h:92, GLTexture.h:63, and GLShaderProgram.h:26-29 do not call Destroy in their destructors. CanvasView.cpp:195-201 re-enrolls the display texture under the existing handle when its backing buffer grows.</w:t>
      </w:r>
    </w:p>
    <w:p>
      <w:pPr>
        <w:keepLines/>
      </w:pPr>
      <w:r>
        <w:rPr>
          <w:b/>
        </w:rPr>
        <w:t xml:space="preserve">Impact and trigger: </w:t>
      </w:r>
      <w:r>
        <w:t>A CanvasView texture resize destroys only the C++ wrapper. The prior GL texture and PBOs remain allocated until context teardown. Any future same-handle mesh, shader, or texture replacement has the same leak path; repeated zoom/window growth can accumulate GPU memory.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Make backend registry replacement explicit: destroy the old resource before replacement or give every concrete resource true RAII destruction and make Destroy idempotent. Add a replacement test that observes concrete destroy calls through a test backend or GL deletion shim.</w:t>
      </w:r>
    </w:p>
    <w:p>
      <w:pPr>
        <w:keepLines/>
      </w:pPr>
      <w:r>
        <w:rPr>
          <w:b/>
        </w:rPr>
        <w:t xml:space="preserve">Existing coverage and validation gap: </w:t>
      </w:r>
      <w:r>
        <w:t>MockBackend enrollment tests cover handle flow but cannot observe real GL deletion. The process startup smoke did not exercise repeated growth while measuring GPU object counts.</w:t>
      </w:r>
    </w:p>
    <w:p>
      <w:pPr>
        <w:pStyle w:val="Heading3"/>
      </w:pPr>
      <w:r>
        <w:t>RND-002 — Command overflow can permanently discard one-shot GPU updates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CommandQueue.h:6-12 and 33-48 silently drop tokens after the fixed 2,048-command capacity and expose no success result to producers. CanvasView.cpp:639-652 clears textureUploadPending after enqueue. GameVisual.cpp:535-562 clears shapeUploadPending and spriteUploadPending after enqueue.</w:t>
      </w:r>
    </w:p>
    <w:p>
      <w:pPr>
        <w:keepLines/>
      </w:pPr>
      <w:r>
        <w:rPr>
          <w:b/>
        </w:rPr>
        <w:t xml:space="preserve">Impact and trigger: </w:t>
      </w:r>
      <w:r>
        <w:t>If an update token is the first token dropped, the matching draw can use stale texture or vertex data indefinitely because the producer records the update as completed. The trigger is a frame whose earlier emitters fill the queue; logging identifies overflow but does not restore producer state.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Return enqueue status, propagate it through Renderer push methods, and clear persistent dirty flags only after successful enqueue/submission. Prefer atomic drawable emission or a preflight command budget so partial token sequences cannot be accepted.</w:t>
      </w:r>
    </w:p>
    <w:p>
      <w:pPr>
        <w:keepLines/>
      </w:pPr>
      <w:r>
        <w:rPr>
          <w:b/>
        </w:rPr>
        <w:t xml:space="preserve">Existing coverage and validation gap: </w:t>
      </w:r>
      <w:r>
        <w:t>Queue overflow counters are tested, but no end-to-end test proves that CanvasView or GameVisual retries a rejected update; current code cannot do so.</w:t>
      </w:r>
    </w:p>
    <w:p>
      <w:pPr>
        <w:pStyle w:val="Heading3"/>
      </w:pPr>
      <w:r>
        <w:t>RND-003 — AssetManager uses a second, incompatible handle and ownership model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AssetManager.h:17-28 maintains separate mesh, texture, and shader counters and local registries. Load methods at 39-132 pass those independent IDs into Renderer, whose global monotonic allocator is Renderer.h:221-222. Get, Free, and Shutdown at AssetManager.h:135-209 operate on registries that Load never populates. Illumo.cpp:100 still constructs the manager.</w:t>
      </w:r>
    </w:p>
    <w:p>
      <w:pPr>
        <w:keepLines/>
      </w:pPr>
      <w:r>
        <w:rPr>
          <w:b/>
        </w:rPr>
        <w:t xml:space="preserve">Impact and trigger: </w:t>
      </w:r>
      <w:r>
        <w:t>Activating these dormant APIs can collide a mesh, texture, and shader at handle zero or overwrite renderer-owned resources. Callers can receive null from Get and false from Free even after a reported load.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Choose one resource owner and one global handle allocator. Either remove the unused manager or route all creation/destruction through a narrow Renderer-owned registry contract with explicit success and lifetime semantics.</w:t>
      </w:r>
    </w:p>
    <w:p>
      <w:pPr>
        <w:keepLines/>
      </w:pPr>
      <w:r>
        <w:rPr>
          <w:b/>
        </w:rPr>
        <w:t xml:space="preserve">Existing coverage and validation gap: </w:t>
      </w:r>
      <w:r>
        <w:t>No production Load* call was found and no test exercises AssetManager ownership, so the defect is latent rather than observed in the shipping path.</w:t>
      </w:r>
    </w:p>
    <w:p>
      <w:pPr>
        <w:pStyle w:val="Heading3"/>
      </w:pPr>
      <w:r>
        <w:t>RND-004 — Resource creation can report a valid handle for an unimplemented or failed resource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GLBackend.cpp:157-161 logs that file-backed mesh creation is unimplemented and still returns tableID. Shader and texture creation at 165-216 also return tableID unconditionally after constructing a wrapper, without communicating compile, link, decode, or allocation failure.</w:t>
      </w:r>
    </w:p>
    <w:p>
      <w:pPr>
        <w:keepLines/>
      </w:pPr>
      <w:r>
        <w:rPr>
          <w:b/>
        </w:rPr>
        <w:t xml:space="preserve">Impact and trigger: </w:t>
      </w:r>
      <w:r>
        <w:t>Callers can persist and bind a handle that resolves to no usable GPU resource. Downstream warnings occur far from the enrollment site, obscuring the root cause and making initialization appear successful.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Return a typed result or zero/optional on failure, log the original failure once, and insert into registries only after successful creation. Cover invalid shader source, missing texture, and unimplemented mesh-file paths.</w:t>
      </w:r>
    </w:p>
    <w:p>
      <w:pPr>
        <w:keepLines/>
      </w:pPr>
      <w:r>
        <w:rPr>
          <w:b/>
        </w:rPr>
        <w:t xml:space="preserve">Existing coverage and validation gap: </w:t>
      </w:r>
      <w:r>
        <w:t>Headless tests validate successful MockBackend enrollment; they do not model concrete GL compile/decode failures.</w:t>
      </w:r>
    </w:p>
    <w:p>
      <w:pPr>
        <w:pStyle w:val="Heading3"/>
      </w:pPr>
      <w:r>
        <w:t>RND-005 — Sprite batching changes painter order</w:t>
      </w:r>
    </w:p>
    <w:p>
      <w:pPr>
        <w:pStyle w:val="FindingMeta"/>
      </w:pPr>
      <w:r>
        <w:t>Classification: Medium  |  Confidence: High  |  Basis: Observed fact with bounded rendering inference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GameVisual.cpp:443-452 sorts visible sprites by textureHandle before building batches; 454-475 emits geometry in that sorted order and 565-569 draws batches in the same sequence.</w:t>
      </w:r>
    </w:p>
    <w:p>
      <w:pPr>
        <w:keepLines/>
      </w:pPr>
      <w:r>
        <w:rPr>
          <w:b/>
        </w:rPr>
        <w:t xml:space="preserve">Impact and trigger: </w:t>
      </w:r>
      <w:r>
        <w:t>Overlapping translucent sprites no longer compose in insertion order. The visible result depends on opaque handle assignment, so adding or reallocating a texture can change layering without changing scene order.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Preserve painter order and batch only adjacent equal textures, or expose an explicit depth/order key whose semantics are tested. Do not use a global texture sort for alpha-composited UI/world sprites.</w:t>
      </w:r>
    </w:p>
    <w:p>
      <w:pPr>
        <w:keepLines/>
      </w:pPr>
      <w:r>
        <w:rPr>
          <w:b/>
        </w:rPr>
        <w:t xml:space="preserve">Existing coverage and validation gap: </w:t>
      </w:r>
      <w:r>
        <w:t>Tests check batch counts and token shape, not overlapping alpha output or insertion-order preservation.</w:t>
      </w:r>
    </w:p>
    <w:p>
      <w:pPr>
        <w:pStyle w:val="Heading3"/>
      </w:pPr>
      <w:r>
        <w:t>RND-006 — Framebuffer and logical window dimensions compete for viewport authority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RenderWindow.cpp:93-97 and 148-160 set glViewport from framebuffer pixels. Renderer.h:443-445 then emits a viewport every frame from getWindowDimensions, which stores logical window width and height.</w:t>
      </w:r>
    </w:p>
    <w:p>
      <w:pPr>
        <w:keepLines/>
      </w:pPr>
      <w:r>
        <w:rPr>
          <w:b/>
        </w:rPr>
        <w:t xml:space="preserve">Impact and trigger: </w:t>
      </w:r>
      <w:r>
        <w:t>On a high-DPI display where framebuffer pixels differ from logical dimensions, the renderer overwrites the correct framebuffer viewport. Rendering can occupy only part of the framebuffer or scale incorrectly; coordinate mapping can diverge from the visible image.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Expose framebuffer dimensions through IRenderWindow and make Renderer the single viewport authority, or stop emitting the per-frame viewport when the window callback owns it. Add a headless dimension-contract test and a high-DPI manual smoke.</w:t>
      </w:r>
    </w:p>
    <w:p>
      <w:pPr>
        <w:keepLines/>
      </w:pPr>
      <w:r>
        <w:rPr>
          <w:b/>
        </w:rPr>
        <w:t xml:space="preserve">Existing coverage and validation gap: </w:t>
      </w:r>
      <w:r>
        <w:t>The Windows smoke confirmed a responsive window but UI control was unavailable, so DPI behavior was not visually validated.</w:t>
      </w:r>
    </w:p>
    <w:p>
      <w:pPr>
        <w:pStyle w:val="Heading3"/>
      </w:pPr>
      <w:r>
        <w:t>RND-007 — Pipeline-state cache assumes a depth-test state OpenGL does not start with</w:t>
      </w:r>
    </w:p>
    <w:p>
      <w:pPr>
        <w:pStyle w:val="FindingMeta"/>
      </w:pPr>
      <w:r>
        <w:t>Classification: Medium  |  Confidence: High  |  Basis: Observed code plus stable OpenGL default-state rule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PipelineState.h:35-48 defaults depthTestEnabled to true. GLDevice.cpp:5-14 calls glEnable(GL_DEPTH_TEST) only when the requested value differs from the cached default. Renderer.h:447-452 requests the same true default on the first frame.</w:t>
      </w:r>
    </w:p>
    <w:p>
      <w:pPr>
        <w:keepLines/>
      </w:pPr>
      <w:r>
        <w:rPr>
          <w:b/>
        </w:rPr>
        <w:t xml:space="preserve">Impact and trigger: </w:t>
      </w:r>
      <w:r>
        <w:t>The first SetPipelineState can skip enabling depth testing even though a new OpenGL context starts with depth testing disabled. The CPU cache and GL state disagree until a later explicit toggle.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Initialize the cache to known real GL defaults or mark all cached fields unknown and force the first application. Invalidate/reapply state after any immediate fallback that may touch GL directly.</w:t>
      </w:r>
    </w:p>
    <w:p>
      <w:pPr>
        <w:keepLines/>
      </w:pPr>
      <w:r>
        <w:rPr>
          <w:b/>
        </w:rPr>
        <w:t xml:space="preserve">Existing coverage and validation gap: </w:t>
      </w:r>
      <w:r>
        <w:t>MockBackend verifies tokens, not concrete GL state. The process smoke did not perform pixel-level depth validation.</w:t>
      </w:r>
    </w:p>
    <w:p>
      <w:pPr>
        <w:pStyle w:val="Heading3"/>
      </w:pPr>
      <w:r>
        <w:t>RND-008 — Texture upload mutates GL binding state without tracking the active slot</w:t>
      </w:r>
    </w:p>
    <w:p>
      <w:pPr>
        <w:pStyle w:val="FindingMeta"/>
      </w:pPr>
      <w:r>
        <w:t>Classification: Medium  |  Confidence: Medium  |  Basis: Observed fact; latent in current slot-zero usage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GLTexture.h:119-132 and 158-194 bind GL_TEXTURE_2D on whichever texture unit is active. GLDevice.cpp:212-230 invokes that upload and then assigns only _boundTexture[0]. GLTexture::Bind at 65-69 changes the active unit, while the upload path does not select or restore one.</w:t>
      </w:r>
    </w:p>
    <w:p>
      <w:pPr>
        <w:keepLines/>
      </w:pPr>
      <w:r>
        <w:rPr>
          <w:b/>
        </w:rPr>
        <w:t xml:space="preserve">Impact and trigger: </w:t>
      </w:r>
      <w:r>
        <w:t>After a nonzero texture-slot bind, an update can change that slot while the cache records slot zero. A later SetTexture may be incorrectly skipped or an unrelated sampler may observe the uploaded texture.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Have GLDevice own active-unit selection and binding restoration around uploads, or pass the target slot explicitly and synchronize the matching cache entry.</w:t>
      </w:r>
    </w:p>
    <w:p>
      <w:pPr>
        <w:keepLines/>
      </w:pPr>
      <w:r>
        <w:rPr>
          <w:b/>
        </w:rPr>
        <w:t xml:space="preserve">Existing coverage and validation gap: </w:t>
      </w:r>
      <w:r>
        <w:t>Current production draw paths predominantly use slot zero, and no test exercises update-after-multislot binding against a real GL context.</w:t>
      </w:r>
    </w:p>
    <w:p>
      <w:pPr>
        <w:pStyle w:val="Heading3"/>
      </w:pPr>
      <w:r>
        <w:t>RND-009 — GameVisual preserves foreign handles when its renderer changes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GameVisual.cpp:25-31 replaces renderer but only enrolls when gpuReady is false. Existing mesh handles and gpuReady remain associated with the prior renderer/backend.</w:t>
      </w:r>
    </w:p>
    <w:p>
      <w:pPr>
        <w:keepLines/>
      </w:pPr>
      <w:r>
        <w:rPr>
          <w:b/>
        </w:rPr>
        <w:t xml:space="preserve">Impact and trigger: </w:t>
      </w:r>
      <w:r>
        <w:t>A test or future context-restart path that moves a visual to a different renderer can emit handles unknown to the new backend.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Treat renderer identity changes as resource invalidation and re-enroll, or make GameVisual permanently bound to one renderer after preparation.</w:t>
      </w:r>
    </w:p>
    <w:p>
      <w:pPr>
        <w:keepLines/>
      </w:pPr>
      <w:r>
        <w:rPr>
          <w:b/>
        </w:rPr>
        <w:t xml:space="preserve">Existing coverage and validation gap: </w:t>
      </w:r>
      <w:r>
        <w:t>No renderer-switch test exists; the production renderer is currently stable for process lifetime.</w:t>
      </w:r>
    </w:p>
    <w:p>
      <w:pPr>
        <w:pStyle w:val="Heading3"/>
      </w:pPr>
      <w:r>
        <w:t>RND-010 — Immediate fallback disappears when the fixed frame arena cannot hold its pointer list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Renderer.h:59-63 allocates an 8 KiB frame arena. RenderScene at 456-480 requests one pointer per drawable; if allocation returns null, AppendCommands failures are not added to the immediate list and Draw is never called at 490-492.</w:t>
      </w:r>
    </w:p>
    <w:p>
      <w:pPr>
        <w:keepLines/>
      </w:pPr>
      <w:r>
        <w:rPr>
          <w:b/>
        </w:rPr>
        <w:t xml:space="preserve">Impact and trigger: </w:t>
      </w:r>
      <w:r>
        <w:t>On 64-bit builds, more than roughly 1,024 drawables can exhaust the arena before other scratch use. Tokenized drawables still render, but fallback stubs silently vanish.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a retained vector sized to scene drawable count, reserve explicitly, and surface allocation failure. If fallback is intentionally bounded, encode and test the bound.</w:t>
      </w:r>
    </w:p>
    <w:p>
      <w:pPr>
        <w:keepLines/>
      </w:pPr>
      <w:r>
        <w:rPr>
          <w:b/>
        </w:rPr>
        <w:t xml:space="preserve">Existing coverage and validation gap: </w:t>
      </w:r>
      <w:r>
        <w:t>Production drawables use tokens and current scenes are small; tests do not exercise an arena-exhausted fallback list.</w:t>
      </w:r>
    </w:p>
    <w:p>
      <w:pPr>
        <w:pStyle w:val="Heading3"/>
      </w:pPr>
      <w:r>
        <w:t>RND-011 — Dormant hardware probing issues unsupported queries in a 3.3 core context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RenderWindow.cpp:52-54 requests OpenGL 3.3 core. GLDevice.cpp:320-388 queries tessellation, compute, image, NVX memory, and GL_EXTENSIONS values without version/extension guards; GL_EXTENSIONS is not queried this way in a core profile. No GetHWInfo caller was found.</w:t>
      </w:r>
    </w:p>
    <w:p>
      <w:pPr>
        <w:keepLines/>
      </w:pPr>
      <w:r>
        <w:rPr>
          <w:b/>
        </w:rPr>
        <w:t xml:space="preserve">Impact and trigger: </w:t>
      </w:r>
      <w:r>
        <w:t>If activated, probing can generate GL errors and report misleading capabilities. It is currently dormant, so there is no observed production failure.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version-aware glGetStringi extension enumeration and guard each pname by core version/extension support, or remove unused capability fields.</w:t>
      </w:r>
    </w:p>
    <w:p>
      <w:pPr>
        <w:keepLines/>
      </w:pPr>
      <w:r>
        <w:rPr>
          <w:b/>
        </w:rPr>
        <w:t xml:space="preserve">Existing coverage and validation gap: </w:t>
      </w:r>
      <w:r>
        <w:t>No tests or runtime call cover GetHWInfo.</w:t>
      </w:r>
    </w:p>
    <w:p>
      <w:pPr>
        <w:pStyle w:val="Heading2"/>
      </w:pPr>
      <w:r>
        <w:t>Simulation, presentation, and persistence</w:t>
      </w:r>
    </w:p>
    <w:p>
      <w:pPr>
        <w:pStyle w:val="Heading3"/>
      </w:pPr>
      <w:r>
        <w:t>SIM-001 — Accepted extreme world coordinates cross unchecked arithmetic boundaries</w:t>
      </w:r>
    </w:p>
    <w:p>
      <w:pPr>
        <w:pStyle w:val="FindingMeta"/>
      </w:pPr>
      <w:r>
        <w:t>Classification: High  |  Confidence: High  |  Basis: Observed fact with language-defined overflow consequences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CellGameModule.cpp:36-48 accepts the full signed 64-bit setcell range. CanvasView.cpp:81-84 converts unbounded double to int64; 380-383 and 476-479 add/subtract view extents. SparseCellGrid.cpp:424-428 and 1795-1800 add neighbor offsets to chunk coordinates. CellGameModule.cpp:804-851 computes edit-line differences at those coordinates.</w:t>
      </w:r>
    </w:p>
    <w:p>
      <w:pPr>
        <w:keepLines/>
      </w:pPr>
      <w:r>
        <w:rPr>
          <w:b/>
        </w:rPr>
        <w:t xml:space="preserve">Impact and trigger: </w:t>
      </w:r>
      <w:r>
        <w:t>At or near INT64 limits, signed addition/subtraction can overflow, floating-to-integer conversion can be out of range, and line stepping can misbehave or invoke undefined behavior. Save files can also supply extreme chunk addresses that later reach neighbor expansion.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Define a supported world-coordinate envelope with checked add/subtract helpers; reject out-of-envelope console/save coordinates and clamp camera conversion before casts. Add boundary tests at min/max and one-cell-neighbor operations.</w:t>
      </w:r>
    </w:p>
    <w:p>
      <w:pPr>
        <w:keepLines/>
      </w:pPr>
      <w:r>
        <w:rPr>
          <w:b/>
        </w:rPr>
        <w:t xml:space="preserve">Existing coverage and validation gap: </w:t>
      </w:r>
      <w:r>
        <w:t>Domain tests exercise large signed coordinates but not arithmetic at numeric limits or adversarial saved chunk addresses.</w:t>
      </w:r>
    </w:p>
    <w:p>
      <w:pPr>
        <w:pStyle w:val="Heading3"/>
      </w:pPr>
      <w:r>
        <w:t>SIM-002 — CanvasView buffer growth is not exception-safe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CanvasView.cpp:159-180 deletes all four existing arrays, updates dimensions, then performs four independent allocations. Pointers are not nulled or replaced transactionally before an allocation can throw.</w:t>
      </w:r>
    </w:p>
    <w:p>
      <w:pPr>
        <w:keepLines/>
      </w:pPr>
      <w:r>
        <w:rPr>
          <w:b/>
        </w:rPr>
        <w:t xml:space="preserve">Impact and trigger: </w:t>
      </w:r>
      <w:r>
        <w:t>A bad_alloc during growth leaves dangling and/or partially replaced members. Stack unwinding reaches a destructor that deletes all four pointers again, creating double-free risk; if the exception is caught above, the object is unusable.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Allocate into four temporary RAII buffers, initialize them, then swap and update dimensions only after all allocations succeed. Prefer vectors or unique_ptr arrays and add an injected-allocation-failure test.</w:t>
      </w:r>
    </w:p>
    <w:p>
      <w:pPr>
        <w:keepLines/>
      </w:pPr>
      <w:r>
        <w:rPr>
          <w:b/>
        </w:rPr>
        <w:t xml:space="preserve">Existing coverage and validation gap: </w:t>
      </w:r>
      <w:r>
        <w:t>Normal resize paths are tested, but allocation failure is not injected.</w:t>
      </w:r>
    </w:p>
    <w:p>
      <w:pPr>
        <w:pStyle w:val="Heading3"/>
      </w:pPr>
      <w:r>
        <w:t>SIM-003 — A heavy generation still blocks the frame thread</w:t>
      </w:r>
    </w:p>
    <w:p>
      <w:pPr>
        <w:pStyle w:val="FindingMeta"/>
      </w:pPr>
      <w:r>
        <w:t>Classification: Medium  |  Confidence: High  |  Basis: Observed fact; responsiveness impact is workload-dependent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CellGameModule.cpp:760-797 calls SparseCellGrid::advance synchronously from Update. The two-step catch-up bound limits burst count, but SparseCellGrid.cpp:58-92 waits for reusable worker-pool completion before returning.</w:t>
      </w:r>
    </w:p>
    <w:p>
      <w:pPr>
        <w:keepLines/>
      </w:pPr>
      <w:r>
        <w:rPr>
          <w:b/>
        </w:rPr>
        <w:t xml:space="preserve">Impact and trigger: </w:t>
      </w:r>
      <w:r>
        <w:t>One expensive generation directly extends input-to-present latency. The two-step cap prevents unbounded catch-up but does not bound the duration of either generation.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Keep measurement first. If responsiveness targets require it, publish immutable generations asynchronously with deterministic handoff and bounded lag; otherwise document an explicit maximum-generation budget.</w:t>
      </w:r>
    </w:p>
    <w:p>
      <w:pPr>
        <w:keepLines/>
      </w:pPr>
      <w:r>
        <w:rPr>
          <w:b/>
        </w:rPr>
        <w:t xml:space="preserve">Existing coverage and validation gap: </w:t>
      </w:r>
      <w:r>
        <w:t>Microbenchmarks measure throughput, not frame-time percentiles or input latency under the live window workload.</w:t>
      </w:r>
    </w:p>
    <w:p>
      <w:pPr>
        <w:pStyle w:val="Heading3"/>
      </w:pPr>
      <w:r>
        <w:t>SIM-004 — Any grid revision forces a full visible-area resample</w:t>
      </w:r>
    </w:p>
    <w:p>
      <w:pPr>
        <w:pStyle w:val="FindingMeta"/>
      </w:pPr>
      <w:r>
        <w:t>Classification: Medium  |  Confidence: High  |  Basis: Observed fact; performance impact depends on edit locality and view size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CanvasView.cpp:503-517 compares only the global grid revision and calls sampleGrid for the entire visible region whenever it changes. No changed-chunk intersection is consulted.</w:t>
      </w:r>
    </w:p>
    <w:p>
      <w:pPr>
        <w:keepLines/>
      </w:pPr>
      <w:r>
        <w:rPr>
          <w:b/>
        </w:rPr>
        <w:t xml:space="preserve">Impact and trigger: </w:t>
      </w:r>
      <w:r>
        <w:t>Edits or simulation changes fully outside the camera view still traverse and reconstruct the visible presentation. Large views pay the same resample cost for one offscreen changed chunk as for a visible change.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Expose revision-scoped changed bounds/chunks to CanvasView and skip offscreen revisions or update only intersecting texture regions. Preserve a full fallback when the change frontier is invalid.</w:t>
      </w:r>
    </w:p>
    <w:p>
      <w:pPr>
        <w:keepLines/>
      </w:pPr>
      <w:r>
        <w:rPr>
          <w:b/>
        </w:rPr>
        <w:t xml:space="preserve">Existing coverage and validation gap: </w:t>
      </w:r>
      <w:r>
        <w:t>Tests prove revision gating for unchanged frames, not offscreen-change suppression. No dedicated presentation benchmark measures this case.</w:t>
      </w:r>
    </w:p>
    <w:p>
      <w:pPr>
        <w:pStyle w:val="Heading3"/>
      </w:pPr>
      <w:r>
        <w:t>SIM-005 — Simulation allocation failures are treated as successful steps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SparseCellGrid.cpp returns false from allocation/error paths including 1387-1390, 1709-1712, and 1837-1853. CellGameModule.cpp:565-573 and 782-785 ignore the bool, consume loop/debt state, and update presentation or report completion.</w:t>
      </w:r>
    </w:p>
    <w:p>
      <w:pPr>
        <w:keepLines/>
      </w:pPr>
      <w:r>
        <w:rPr>
          <w:b/>
        </w:rPr>
        <w:t xml:space="preserve">Impact and trigger: </w:t>
      </w:r>
      <w:r>
        <w:t>Under memory pressure, manual step commands can claim success and the running simulation can advance its timing debt without producing a generation. Repeated failures are silent to the user.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Check advance results, keep timing debt consistent, stop or pause the simulation on failure, and surface one actionable error. Add a deterministic failure-injection seam.</w:t>
      </w:r>
    </w:p>
    <w:p>
      <w:pPr>
        <w:keepLines/>
      </w:pPr>
      <w:r>
        <w:rPr>
          <w:b/>
        </w:rPr>
        <w:t xml:space="preserve">Existing coverage and validation gap: </w:t>
      </w:r>
      <w:r>
        <w:t>Happy-path generation and determinism are extensively tested; advance failure propagation is not.</w:t>
      </w:r>
    </w:p>
    <w:p>
      <w:pPr>
        <w:pStyle w:val="Heading3"/>
      </w:pPr>
      <w:r>
        <w:t>SIM-006 — Saving is non-atomic and can destroy the prior valid file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CellGameModule.cpp:904-953 opens the requested destination with ios::trunc at line 911, then writes header and chunk records in place. A late file.good failure is detected only after the previous contents have already been removed.</w:t>
      </w:r>
    </w:p>
    <w:p>
      <w:pPr>
        <w:keepLines/>
      </w:pPr>
      <w:r>
        <w:rPr>
          <w:b/>
        </w:rPr>
        <w:t xml:space="preserve">Impact and trigger: </w:t>
      </w:r>
      <w:r>
        <w:t>Disk-full, device, antivirus, or abrupt-process failures during overwrite can leave a truncated save and erase the last valid version. This is a direct user-data-loss path.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Write to a unique sibling temporary file, flush/close and validate, then atomically replace the destination with platform-appropriate error handling. Keep the prior file until replacement succeeds.</w:t>
      </w:r>
    </w:p>
    <w:p>
      <w:pPr>
        <w:keepLines/>
      </w:pPr>
      <w:r>
        <w:rPr>
          <w:b/>
        </w:rPr>
        <w:t xml:space="preserve">Existing coverage and validation gap: </w:t>
      </w:r>
      <w:r>
        <w:t>Save/load round trips and malformed-load transactional behavior are tested; interrupted or failing writes are not.</w:t>
      </w:r>
    </w:p>
    <w:p>
      <w:pPr>
        <w:pStyle w:val="Heading3"/>
      </w:pPr>
      <w:r>
        <w:t>SIM-007 — Sparse-load limits permit multi-gigabyte work and do not contain allocation failure</w:t>
      </w:r>
    </w:p>
    <w:p>
      <w:pPr>
        <w:pStyle w:val="FindingMeta"/>
      </w:pPr>
      <w:r>
        <w:t>Classification: Medium  |  Confidence: High  |  Basis: Observed fact with bounded resource inference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CellGameModule.cpp:984-1046 accepts up to 10,000,000 16x16 records and inserts each through loadedGrid.assignChunk. The sparse branch has no encompassing bad_alloc handler or total byte budget; the legacy vector branch explicitly catches bad_alloc at 1069-1075.</w:t>
      </w:r>
    </w:p>
    <w:p>
      <w:pPr>
        <w:keepLines/>
      </w:pPr>
      <w:r>
        <w:rPr>
          <w:b/>
        </w:rPr>
        <w:t xml:space="preserve">Impact and trigger: </w:t>
      </w:r>
      <w:r>
        <w:t>A syntactically valid file can request several gigabytes of chunk/node storage and terminate the process if an allocation escapes. The transaction protects the live grid but not process availability.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Validate file length against record count, impose a documented byte/chunk budget, reserve cautiously, and catch allocation failure around the whole sparse load. Report resource-limit failure separately from malformed data.</w:t>
      </w:r>
    </w:p>
    <w:p>
      <w:pPr>
        <w:keepLines/>
      </w:pPr>
      <w:r>
        <w:rPr>
          <w:b/>
        </w:rPr>
        <w:t xml:space="preserve">Existing coverage and validation gap: </w:t>
      </w:r>
      <w:r>
        <w:t>Malformed ordering/state/truncation cases are covered; adversarial high-count and allocation-failure cases are not.</w:t>
      </w:r>
    </w:p>
    <w:p>
      <w:pPr>
        <w:pStyle w:val="Heading3"/>
      </w:pPr>
      <w:r>
        <w:t>SIM-008 — Dense compatibility threading can terminate if thread creation throws</w:t>
      </w:r>
    </w:p>
    <w:p>
      <w:pPr>
        <w:pStyle w:val="FindingMeta"/>
      </w:pPr>
      <w:r>
        <w:t>Classification: Medium  |  Confidence: High  |  Basis: Observed fact plus standard std::thread destruction semantics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RuleSet.cpp:315-382 creates workers per generation in a vector and joins only after all emplace_back calls. If a later thread construction throws, previously created joinable threads are destroyed during unwinding.</w:t>
      </w:r>
    </w:p>
    <w:p>
      <w:pPr>
        <w:keepLines/>
      </w:pPr>
      <w:r>
        <w:rPr>
          <w:b/>
        </w:rPr>
        <w:t xml:space="preserve">Impact and trigger: </w:t>
      </w:r>
      <w:r>
        <w:t>Resource exhaustion during the compatibility dense path can call std::terminate rather than returning an error or completing serially.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std::jthread or an RAII join guard, or retain a bounded worker pool as the sparse path does. Handle creation failure by joining created workers and falling back safely.</w:t>
      </w:r>
    </w:p>
    <w:p>
      <w:pPr>
        <w:keepLines/>
      </w:pPr>
      <w:r>
        <w:rPr>
          <w:b/>
        </w:rPr>
        <w:t xml:space="preserve">Existing coverage and validation gap: </w:t>
      </w:r>
      <w:r>
        <w:t>Parallel dense results are tested; thread-construction failure is not injectable.</w:t>
      </w:r>
    </w:p>
    <w:p>
      <w:pPr>
        <w:pStyle w:val="Heading3"/>
      </w:pPr>
      <w:r>
        <w:t>SIM-009 — Version-2 persistence is native-endian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CellGameModule.cpp:917-946 writes native uint32, uint64, int64, and double representations directly; 984-996 reads them the same way. The format carries a version but no byte-order marker or canonical encoding.</w:t>
      </w:r>
    </w:p>
    <w:p>
      <w:pPr>
        <w:keepLines/>
      </w:pPr>
      <w:r>
        <w:rPr>
          <w:b/>
        </w:rPr>
        <w:t xml:space="preserve">Impact and trigger: </w:t>
      </w:r>
      <w:r>
        <w:t>Files are not portable across opposite-endian hosts and representation assumptions are implicit. Current supported Windows/x86-64 use is unaffected.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Document little-endian IEEE-754 as the format contract and encode/decode explicitly before a cross-architecture port claims save compatibility.</w:t>
      </w:r>
    </w:p>
    <w:p>
      <w:pPr>
        <w:keepLines/>
      </w:pPr>
      <w:r>
        <w:rPr>
          <w:b/>
        </w:rPr>
        <w:t xml:space="preserve">Existing coverage and validation gap: </w:t>
      </w:r>
      <w:r>
        <w:t>Round trips are same-host only.</w:t>
      </w:r>
    </w:p>
    <w:p>
      <w:pPr>
        <w:pStyle w:val="Heading3"/>
      </w:pPr>
      <w:r>
        <w:t>SIM-010 — Editor gesture state and dormant Brush code are process-global or incomplete</w:t>
      </w:r>
    </w:p>
    <w:p>
      <w:pPr>
        <w:pStyle w:val="FindingMeta"/>
      </w:pPr>
      <w:r>
        <w:t>Classification: Observation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CellGameModule.cpp:804-806 and 1126-1127 store paint/pan gesture state in function-static variables shared across module instances. Brush.h:6-56 references undeclared Canvas, currentX, and currentY and is not part of the active edit path.</w:t>
      </w:r>
    </w:p>
    <w:p>
      <w:pPr>
        <w:keepLines/>
      </w:pPr>
      <w:r>
        <w:rPr>
          <w:b/>
        </w:rPr>
        <w:t xml:space="preserve">Impact and trigger: </w:t>
      </w:r>
      <w:r>
        <w:t>Current single-module process use masks the shared state. Tests or future restart/multi-instance flows can inherit gesture state, while the dormant header cannot be safely reactivated as written.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Move gesture state into CellGameModule members and delete or repair Brush only when a real consumer is introduced.</w:t>
      </w:r>
    </w:p>
    <w:p>
      <w:pPr>
        <w:keepLines/>
      </w:pPr>
      <w:r>
        <w:rPr>
          <w:b/>
        </w:rPr>
        <w:t xml:space="preserve">Existing coverage and validation gap: </w:t>
      </w:r>
      <w:r>
        <w:t>Current tests do not run simultaneous or restart-style module instances with active gestures.</w:t>
      </w:r>
    </w:p>
    <w:p>
      <w:pPr>
        <w:pStyle w:val="Heading2"/>
      </w:pPr>
      <w:r>
        <w:t>Services and command/input behavior</w:t>
      </w:r>
    </w:p>
    <w:p>
      <w:pPr>
        <w:pStyle w:val="Heading3"/>
      </w:pPr>
      <w:r>
        <w:t>SVC-001 — Input-context exhaustion is followed by an out-of-bounds activation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InputManager.cpp:488-496 returns -1 at capacity. setActiveInputContext at 475-477 indexes inputContexts without validating the ID. CellGameModule.cpp:153-154 passes the registration result directly into activation.</w:t>
      </w:r>
    </w:p>
    <w:p>
      <w:pPr>
        <w:keepLines/>
      </w:pPr>
      <w:r>
        <w:rPr>
          <w:b/>
        </w:rPr>
        <w:t xml:space="preserve">Impact and trigger: </w:t>
      </w:r>
      <w:r>
        <w:t>Starting a module after all context slots are used sets activeInputContext to memory before the array. Subsequent input access dereferences invalid memory.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Validate IDs in setActiveInputContext, make registration return an optional/result, and have module Start fail cleanly if registration fails. Add a test that attempts activation after capacity exhaustion.</w:t>
      </w:r>
    </w:p>
    <w:p>
      <w:pPr>
        <w:keepLines/>
      </w:pPr>
      <w:r>
        <w:rPr>
          <w:b/>
        </w:rPr>
        <w:t xml:space="preserve">Existing coverage and validation gap: </w:t>
      </w:r>
      <w:r>
        <w:t>TestRuntimeUtilities verifies that registration returns -1 at capacity but deliberately does not pass that result to activation.</w:t>
      </w:r>
    </w:p>
    <w:p>
      <w:pPr>
        <w:pStyle w:val="Heading3"/>
      </w:pPr>
      <w:r>
        <w:t>SVC-002 — Command callbacks can invalidate the queue being iterated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CommandRegistry.h:47-65 stores queued commands in a vector, iterates it by reference, invokes arbitrary callbacks, and clears afterward. A callback can call QueueCommand, which may reallocate that same vector.</w:t>
      </w:r>
    </w:p>
    <w:p>
      <w:pPr>
        <w:keepLines/>
      </w:pPr>
      <w:r>
        <w:rPr>
          <w:b/>
        </w:rPr>
        <w:t xml:space="preserve">Impact and trigger: </w:t>
      </w:r>
      <w:r>
        <w:t>A command that queues another command during execution can invalidate the active reference/iterator, leading to undefined behavior or accidental same-cycle execution semantics.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Move/swap the current queue into a local batch before invocation; commands queued by callbacks execute in the next batch. Document and test that rule.</w:t>
      </w:r>
    </w:p>
    <w:p>
      <w:pPr>
        <w:keepLines/>
      </w:pPr>
      <w:r>
        <w:rPr>
          <w:b/>
        </w:rPr>
        <w:t xml:space="preserve">Existing coverage and validation gap: </w:t>
      </w:r>
      <w:r>
        <w:t>Registry tests cover normal queueing and clearing, not callback reentrancy.</w:t>
      </w:r>
    </w:p>
    <w:p>
      <w:pPr>
        <w:pStyle w:val="Heading3"/>
      </w:pPr>
      <w:r>
        <w:t>SVC-003 — Malformed environment JSON is silently overwritten on shutdown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EnvVars.cpp:31-53 catches every parse error and leaves the map empty. EnvVars.h:8-13 loads in the constructor and unconditionally saves in the destructor; EnvVars.cpp:57-67 truncates and writes the current map.</w:t>
      </w:r>
    </w:p>
    <w:p>
      <w:pPr>
        <w:keepLines/>
      </w:pPr>
      <w:r>
        <w:rPr>
          <w:b/>
        </w:rPr>
        <w:t xml:space="preserve">Impact and trigger: </w:t>
      </w:r>
      <w:r>
        <w:t>A malformed but recoverable user configuration receives no diagnostic and is replaced by an empty/default-derived document at normal shutdown, eliminating the original evidence and settings.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Track load validity, log parse errors, and do not overwrite an invalid source automatically. Save transactionally and preserve a backup when recovery is required.</w:t>
      </w:r>
    </w:p>
    <w:p>
      <w:pPr>
        <w:keepLines/>
      </w:pPr>
      <w:r>
        <w:rPr>
          <w:b/>
        </w:rPr>
        <w:t xml:space="preserve">Existing coverage and validation gap: </w:t>
      </w:r>
      <w:r>
        <w:t>Service tests cover ordinary persistence, not malformed-input preservation.</w:t>
      </w:r>
    </w:p>
    <w:p>
      <w:pPr>
        <w:pStyle w:val="Heading3"/>
      </w:pPr>
      <w:r>
        <w:t>SVC-004 — Console escaping corrupts ordinary Windows paths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CommandLine.cpp:724-778 treats every backslash as an escape introducer and removes it before the next character. Save/load commands consume these parsed arguments at CellGameModule.cpp:294-327.</w:t>
      </w:r>
    </w:p>
    <w:p>
      <w:pPr>
        <w:keepLines/>
      </w:pPr>
      <w:r>
        <w:rPr>
          <w:b/>
        </w:rPr>
        <w:t xml:space="preserve">Impact and trigger: </w:t>
      </w:r>
      <w:r>
        <w:t>An unquoted or quoted path such as C:\work\canvas.illumo becomes C:workcanvas.illumo. The command can save to or load from an unintended location; only doubled backslashes avoid the corruption.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Make escaping quote-aware and preserve backslashes unless they escape a delimiter, quote, or backslash. Add Windows drive, UNC, spaces, quotes, and trailing-backslash parser tests.</w:t>
      </w:r>
    </w:p>
    <w:p>
      <w:pPr>
        <w:keepLines/>
      </w:pPr>
      <w:r>
        <w:rPr>
          <w:b/>
        </w:rPr>
        <w:t xml:space="preserve">Existing coverage and validation gap: </w:t>
      </w:r>
      <w:r>
        <w:t>Parser tests cover escapes and a trailing slash, but not normal Windows filesystem paths end to end.</w:t>
      </w:r>
    </w:p>
    <w:p>
      <w:pPr>
        <w:pStyle w:val="Heading3"/>
      </w:pPr>
      <w:r>
        <w:t>SVC-005 — Release builds accumulate undrained key and character events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InputManager.cpp:510-538 pushes every character and key event into std::queue. DebugModule.cpp:96-100 and 159-163 is the only active consumer found. Illumo/CMakeLists.txt:186-188 compiles DebugModule only for Debug.</w:t>
      </w:r>
    </w:p>
    <w:p>
      <w:pPr>
        <w:keepLines/>
      </w:pPr>
      <w:r>
        <w:rPr>
          <w:b/>
        </w:rPr>
        <w:t xml:space="preserve">Impact and trigger: </w:t>
      </w:r>
      <w:r>
        <w:t>Normal keyboard use in Release grows both queues for process lifetime, increasing memory without bound. Gameplay also pays callback allocation/queue overhead for events it never consumes.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Register console queues only when the Debug consumer exists, or drain/disable them in Release while retaining direct input-state updates.</w:t>
      </w:r>
    </w:p>
    <w:p>
      <w:pPr>
        <w:keepLines/>
      </w:pPr>
      <w:r>
        <w:rPr>
          <w:b/>
        </w:rPr>
        <w:t xml:space="preserve">Existing coverage and validation gap: </w:t>
      </w:r>
      <w:r>
        <w:t>Headless input tests exercise queue operations, not long-running Release retention.</w:t>
      </w:r>
    </w:p>
    <w:p>
      <w:pPr>
        <w:pStyle w:val="Heading3"/>
      </w:pPr>
      <w:r>
        <w:t>SVC-006 — Console history truncates long lines despite wrap-oriented naming and history tests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CommandLine.cpp:2544-2588 selects one history entry per visual line and calls truncateTextToWidth. TestUITokens.cpp:1065-1128 names and describes wrapping but asserts scroll offset, batch emission, and that the original entry remains in the history vector—not that all visual text is wrapped and rendered.</w:t>
      </w:r>
    </w:p>
    <w:p>
      <w:pPr>
        <w:keepLines/>
      </w:pPr>
      <w:r>
        <w:rPr>
          <w:b/>
        </w:rPr>
        <w:t xml:space="preserve">Impact and trigger: </w:t>
      </w:r>
      <w:r>
        <w:t>Long help, status, and error text is visually clipped. The test name can mislead maintainers into believing wrapping is protected.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Either implement and test visual-line wrapping with scroll counts based on wrapped lines, or rename the test and documentation to describe truncation. The guidance migration now describes the current 8,000-quad batch without claiming wrap behavior.</w:t>
      </w:r>
    </w:p>
    <w:p>
      <w:pPr>
        <w:keepLines/>
      </w:pPr>
      <w:r>
        <w:rPr>
          <w:b/>
        </w:rPr>
        <w:t xml:space="preserve">Existing coverage and validation gap: </w:t>
      </w:r>
      <w:r>
        <w:t>Existing token tests protect batch capacity and history retention but leave rendered text completeness unproved.</w:t>
      </w:r>
    </w:p>
    <w:p>
      <w:pPr>
        <w:pStyle w:val="Heading3"/>
      </w:pPr>
      <w:r>
        <w:t>SVC-007 — Command-line help advertises a positional ruleset that the parser ignores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SysCmdLine.cpp:22-37 prints Usage: illumo.exe RULESET and lists rulesets. ParseCommandLine at 17-92 handles only named options and never assigns ModeString from a positional argument.</w:t>
      </w:r>
    </w:p>
    <w:p>
      <w:pPr>
        <w:keepLines/>
      </w:pPr>
      <w:r>
        <w:rPr>
          <w:b/>
        </w:rPr>
        <w:t xml:space="preserve">Impact and trigger: </w:t>
      </w:r>
      <w:r>
        <w:t>Users following help can launch with GAME_OF_LIFE, WIREWORLD, or another listed mode and still receive the persisted/default mode without an error.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Either implement one validated positional ruleset using CellContext normalization/known-mode logic or remove it from help. Add exact CLI tests.</w:t>
      </w:r>
    </w:p>
    <w:p>
      <w:pPr>
        <w:keepLines/>
      </w:pPr>
      <w:r>
        <w:rPr>
          <w:b/>
        </w:rPr>
        <w:t xml:space="preserve">Existing coverage and validation gap: </w:t>
      </w:r>
      <w:r>
        <w:t>Tests cover reordered dimensions and token validators, not the advertised positional contract.</w:t>
      </w:r>
    </w:p>
    <w:p>
      <w:pPr>
        <w:pStyle w:val="Heading3"/>
      </w:pPr>
      <w:r>
        <w:t>SVC-008 — Empty or oversized dimension options reach window creation without range validation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SysCmdLine.cpp:96-104 returns true for an empty token; TestRuntimeUtilities.cpp:330-343 explicitly preserves that behavior. Parsed strings become valueAsLong zero on conversion failure in EnvVars.cpp:71-80. Illumo.cpp:84-91 casts values to int and constructs RenderWindow without a positive or maximum bound.</w:t>
      </w:r>
    </w:p>
    <w:p>
      <w:pPr>
        <w:keepLines/>
      </w:pPr>
      <w:r>
        <w:rPr>
          <w:b/>
        </w:rPr>
        <w:t xml:space="preserve">Impact and trigger: </w:t>
      </w:r>
      <w:r>
        <w:t>An empty option value can request a zero-sized GLFW window, and very large digit strings can overflow conversion/cast semantics into invalid dimensions. Startup then fails deeper in platform code.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Parse with from_chars into a bounded positive integer and reject empty, overflow, zero, and impractical dimensions before mutating EnvVars.</w:t>
      </w:r>
    </w:p>
    <w:p>
      <w:pPr>
        <w:keepLines/>
      </w:pPr>
      <w:r>
        <w:rPr>
          <w:b/>
        </w:rPr>
        <w:t xml:space="preserve">Existing coverage and validation gap: </w:t>
      </w:r>
      <w:r>
        <w:t>Current tests lock in empty-token acceptance and do not cover range overflow or GLFW rejection.</w:t>
      </w:r>
    </w:p>
    <w:p>
      <w:pPr>
        <w:pStyle w:val="Heading3"/>
      </w:pPr>
      <w:r>
        <w:t>SVC-009 — Dormant foundation and service contracts carry low-grade portability debt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BuildInfo.h:1-4 hard-codes a 2024 version date. MacroDefs.h:55 contains a control character; 64 misspells the fallback force-inline macro; 71-72 maps the millisecond-style sleep macro to second-based sleep on Apple; 95-132 contains malformed parameter references and non-returning constexpr helpers. IEnvVars.h:14-18 has virtual methods but a non-virtual destructor.</w:t>
      </w:r>
    </w:p>
    <w:p>
      <w:pPr>
        <w:keepLines/>
      </w:pPr>
      <w:r>
        <w:rPr>
          <w:b/>
        </w:rPr>
        <w:t xml:space="preserve">Impact and trigger: </w:t>
      </w:r>
      <w:r>
        <w:t>Most items are dormant on the verified MSVC path, but they obstruct non-MSVC work, make diagnostics noisy, and make deletion through IEnvVars* formally unsafe.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Remove unused macros and stale build stamps, replace sleep with chrono, and make polymorphic interfaces destructible through their base. Do this as a focused portability/hygiene change with compile tests.</w:t>
      </w:r>
    </w:p>
    <w:p>
      <w:pPr>
        <w:keepLines/>
      </w:pPr>
      <w:r>
        <w:rPr>
          <w:b/>
        </w:rPr>
        <w:t xml:space="preserve">Existing coverage and validation gap: </w:t>
      </w:r>
      <w:r>
        <w:t>MSVC does not instantiate the dormant macros; non-Windows compilation was unavailable.</w:t>
      </w:r>
    </w:p>
    <w:p>
      <w:pPr>
        <w:pStyle w:val="Heading2"/>
      </w:pPr>
      <w:r>
        <w:t>Ownership and architecture hygiene</w:t>
      </w:r>
    </w:p>
    <w:p>
      <w:pPr>
        <w:pStyle w:val="Heading3"/>
      </w:pPr>
      <w:r>
        <w:t>ARC-001 — Several raw-owning types remain accidentally copyable</w:t>
      </w:r>
    </w:p>
    <w:p>
      <w:pPr>
        <w:pStyle w:val="FindingMeta"/>
      </w:pPr>
      <w:r>
        <w:t>Classification: Low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CellContext.h:41-56 owns and deletes grid, CanvasView, and RuleSet pointers but declares no copy/move policy. ArrayQueue.h:7-15 and CommandQueue.h:12-24 own raw allocations and likewise retain compiler-generated shallow copy operations.</w:t>
      </w:r>
    </w:p>
    <w:p>
      <w:pPr>
        <w:keepLines/>
      </w:pPr>
      <w:r>
        <w:rPr>
          <w:b/>
        </w:rPr>
        <w:t xml:space="preserve">Impact and trigger: </w:t>
      </w:r>
      <w:r>
        <w:t>An accidental copy produces duplicate owners and double deletion. Current call sites do not copy these objects, so the issue is latent.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unique_ptr/value members where practical and explicitly delete copy construction/assignment for unique owners; add safe move only if a real consumer needs it.</w:t>
      </w:r>
    </w:p>
    <w:p>
      <w:pPr>
        <w:keepLines/>
      </w:pPr>
      <w:r>
        <w:rPr>
          <w:b/>
        </w:rPr>
        <w:t xml:space="preserve">Existing coverage and validation gap: </w:t>
      </w:r>
      <w:r>
        <w:t>No copy is present in current production paths and no compile-time noncopyable assertions exist.</w:t>
      </w:r>
    </w:p>
    <w:p>
      <w:pPr>
        <w:pStyle w:val="Heading2"/>
      </w:pPr>
      <w:r>
        <w:t>Platform and toolchain portability</w:t>
      </w:r>
    </w:p>
    <w:p>
      <w:pPr>
        <w:pStyle w:val="Heading3"/>
      </w:pPr>
      <w:r>
        <w:t>PORT-001 — The Windows save dialog rejects new filenames</w:t>
      </w:r>
    </w:p>
    <w:p>
      <w:pPr>
        <w:pStyle w:val="FindingMeta"/>
      </w:pPr>
      <w:r>
        <w:t>Classification: High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WinSaveLoad.cpp:35-51 configures GetSaveFileNameA with OFN_PATHMUSTEXIST | OFN_FILEMUSTEXIST. FILEMUSTEXIST requires the selected file to exist even for Save.</w:t>
      </w:r>
    </w:p>
    <w:p>
      <w:pPr>
        <w:keepLines/>
      </w:pPr>
      <w:r>
        <w:rPr>
          <w:b/>
        </w:rPr>
        <w:t xml:space="preserve">Impact and trigger: </w:t>
      </w:r>
      <w:r>
        <w:t>The native Save workflow cannot create a new .illumo file through the dialog, contradicting the expected user flow. Users can only select an existing file for overwrite or use console paths.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Remove OFN_FILEMUSTEXIST from Save, add overwrite confirmation/default extension flags, and test new file, overwrite, cancel, and invalid path behavior manually.</w:t>
      </w:r>
    </w:p>
    <w:p>
      <w:pPr>
        <w:keepLines/>
      </w:pPr>
      <w:r>
        <w:rPr>
          <w:b/>
        </w:rPr>
        <w:t xml:space="preserve">Existing coverage and validation gap: </w:t>
      </w:r>
      <w:r>
        <w:t>Dialog interaction could not be automated because supported Windows input control returned access denied. Static evidence is conclusive; the path remains manually unverified in this run.</w:t>
      </w:r>
    </w:p>
    <w:p>
      <w:pPr>
        <w:pStyle w:val="Heading3"/>
      </w:pPr>
      <w:r>
        <w:t>PORT-002 — The selected Linux bootstrap does not compile against current shared APIs</w:t>
      </w:r>
    </w:p>
    <w:p>
      <w:pPr>
        <w:pStyle w:val="FindingMeta"/>
      </w:pPr>
      <w:r>
        <w:t>Classification: Medium  |  Confidence: High  |  Basis: Observed static source/CMake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Platform/Linux/_main.cpp:1-23 includes removed ServiceLocator.h, calls the obsolete two-argument-free SysCmdLine parser, references StringisModeString as bootstrap validation, and calls the removed CellMain(string) signature. Illumo/CMakeLists.txt:170-176 selects this source on UNIX.</w:t>
      </w:r>
    </w:p>
    <w:p>
      <w:pPr>
        <w:keepLines/>
      </w:pPr>
      <w:r>
        <w:rPr>
          <w:b/>
        </w:rPr>
        <w:t xml:space="preserve">Impact and trigger: </w:t>
      </w:r>
      <w:r>
        <w:t>A Linux configure that passes dependencies reaches a first-party compile failure. Documentation now correctly labels Linux unsupported stale scaffolding.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Converge on CellMain(argc, argv), current SysCmdLine/EnvVars composition, then perform native configure, build, tests, dialog, rendering, and shutdown validation before claiming support.</w:t>
      </w:r>
    </w:p>
    <w:p>
      <w:pPr>
        <w:keepLines/>
      </w:pPr>
      <w:r>
        <w:rPr>
          <w:b/>
        </w:rPr>
        <w:t xml:space="preserve">Existing coverage and validation gap: </w:t>
      </w:r>
      <w:r>
        <w:t>No Linux host was available; conclusion is static and not a native validation result.</w:t>
      </w:r>
    </w:p>
    <w:p>
      <w:pPr>
        <w:pStyle w:val="Heading3"/>
      </w:pPr>
      <w:r>
        <w:t>PORT-003 — The selected macOS bootstrap is stale and Objective-C++ is not enabled</w:t>
      </w:r>
    </w:p>
    <w:p>
      <w:pPr>
        <w:pStyle w:val="FindingMeta"/>
      </w:pPr>
      <w:r>
        <w:t>Classification: Medium  |  Confidence: High  |  Basis: Observed static source/CMake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Platform/macOS/Main.cpp:1-26 includes removed ServiceLocator.h, uses obsolete SysCmdLine and CellMain APIs, and references validation no longer used by Windows. Illumo/CMakeLists.txt:7 declares project(Illumo) without OBJCXX while 159-163 selects MacSaveLoad.mm.</w:t>
      </w:r>
    </w:p>
    <w:p>
      <w:pPr>
        <w:keepLines/>
      </w:pPr>
      <w:r>
        <w:rPr>
          <w:b/>
        </w:rPr>
        <w:t xml:space="preserve">Impact and trigger: </w:t>
      </w:r>
      <w:r>
        <w:t>The macOS target fails before runtime parity can be assessed. Context-profile and native-dialog behavior also remain unvalidated.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Enable OBJCXX, update the bootstrap to shared App contracts, and validate with AppleClang plus native window/dialog smoke before changing support status.</w:t>
      </w:r>
    </w:p>
    <w:p>
      <w:pPr>
        <w:keepLines/>
      </w:pPr>
      <w:r>
        <w:rPr>
          <w:b/>
        </w:rPr>
        <w:t xml:space="preserve">Existing coverage and validation gap: </w:t>
      </w:r>
      <w:r>
        <w:t>No macOS host was available; conclusion is static.</w:t>
      </w:r>
    </w:p>
    <w:p>
      <w:pPr>
        <w:pStyle w:val="Heading3"/>
      </w:pPr>
      <w:r>
        <w:t>PORT-004 — Clang coverage and clang-tidy are blocked by two first-party compile incompatibilities</w:t>
      </w:r>
    </w:p>
    <w:p>
      <w:pPr>
        <w:pStyle w:val="FindingMeta"/>
      </w:pPr>
      <w:r>
        <w:t>Classification: Medium  |  Confidence: High  |  Basis: Observed toolchain failures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TestAllocators.cpp:247 uses a-&gt;~int(), rejected by Clang 22. SparseCellGrid.cpp:27 defaults the constructor before TargetResult and SparseWorkerPool are complete (definitions begin at 29 and 38; TargetResult is forward-declared at SparseCellGrid.h:176), which Clang/libc++-style instantiation rejects for member destruction requirements.</w:t>
      </w:r>
    </w:p>
    <w:p>
      <w:pPr>
        <w:keepLines/>
      </w:pPr>
      <w:r>
        <w:rPr>
          <w:b/>
        </w:rPr>
        <w:t xml:space="preserve">Impact and trigger: </w:t>
      </w:r>
      <w:r>
        <w:t>IllumoCoverage stops before instrumentation results, so no current percentage or denominator exists. The requested clang-tidy sweep also encounters compile errors and cannot provide a clean all-TU analyzer baseline.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a typedef for explicit scalar destruction or omit the trivial int destructor call; move the SparseCellGrid constructor definition after private types are complete. Re-run coverage and the exact tidy check set.</w:t>
      </w:r>
    </w:p>
    <w:p>
      <w:pPr>
        <w:keepLines/>
      </w:pPr>
      <w:r>
        <w:rPr>
          <w:b/>
        </w:rPr>
        <w:t xml:space="preserve">Existing coverage and validation gap: </w:t>
      </w:r>
      <w:r>
        <w:t>MSVC Release and Debug builds pass 136/136 tests, demonstrating a toolchain portability gap rather than a current MSVC regression.</w:t>
      </w:r>
    </w:p>
    <w:p>
      <w:pPr>
        <w:pStyle w:val="Heading3"/>
      </w:pPr>
      <w:r>
        <w:t>PORT-005 — Windows native dialogs are ANSI and path-length constrained</w:t>
      </w:r>
    </w:p>
    <w:p>
      <w:pPr>
        <w:pStyle w:val="FindingMeta"/>
      </w:pPr>
      <w:r>
        <w:t>Classification: Medium  |  Confidence: High  |  Basis: Observed fact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WinSaveLoad.cpp:10-29 and 35-54 use OPENFILENAMEA/GetOpenFileNameA/GetSaveFileNameA with fixed char[256] buffers.</w:t>
      </w:r>
    </w:p>
    <w:p>
      <w:pPr>
        <w:keepLines/>
      </w:pPr>
      <w:r>
        <w:rPr>
          <w:b/>
        </w:rPr>
        <w:t xml:space="preserve">Impact and trigger: </w:t>
      </w:r>
      <w:r>
        <w:t>Unicode filenames and paths beyond the small fixed buffer can fail or be unrepresentable even though std::filesystem and the rest of the Windows configuration path use wide APIs.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Use the W variants or a modern common-item dialog with dynamic wide strings; cover Unicode, long path, cancel, and overwrite behavior.</w:t>
      </w:r>
    </w:p>
    <w:p>
      <w:pPr>
        <w:keepLines/>
      </w:pPr>
      <w:r>
        <w:rPr>
          <w:b/>
        </w:rPr>
        <w:t xml:space="preserve">Existing coverage and validation gap: </w:t>
      </w:r>
      <w:r>
        <w:t>Native dialog control was unavailable in this run, so no live Unicode/long-path validation was possible.</w:t>
      </w:r>
    </w:p>
    <w:p>
      <w:pPr>
        <w:pStyle w:val="Heading2"/>
      </w:pPr>
      <w:r>
        <w:t>Performance and verification observations</w:t>
      </w:r>
    </w:p>
    <w:p>
      <w:pPr>
        <w:pStyle w:val="Heading3"/>
      </w:pPr>
      <w:r>
        <w:t>PERF-001 — Current benchmark data shows workload-specific parallel crossovers, not a universal worker-count win</w:t>
      </w:r>
    </w:p>
    <w:p>
      <w:pPr>
        <w:pStyle w:val="FindingMeta"/>
      </w:pPr>
      <w:r>
        <w:t>Classification: Observation  |  Confidence: High  |  Basis: Measured on the audited checkout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Release microbenchmarks on the review machine measured 512x512 dense serial at 1,083.8 generations/s and parallel-4 at 2,490.1. For 16,384 sparse blinkers, retained serial measured 34.6 generations/s, parallel-4 38.3, and parallel-8 39.5. A 24x24-chunk case measured serial 675.5 and parallel-4 1,531.5 generations/s.</w:t>
      </w:r>
    </w:p>
    <w:p>
      <w:pPr>
        <w:keepLines/>
      </w:pPr>
      <w:r>
        <w:rPr>
          <w:b/>
        </w:rPr>
        <w:t xml:space="preserve">Impact and trigger: </w:t>
      </w:r>
      <w:r>
        <w:t>Parallelism is materially useful on some broad workloads, but gains vary and small/frontier/candidate paths should remain adaptive. These figures are not comparable to historical runs on other machines.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Retain per-path thresholds and add frame-time percentile benchmarks before changing worker counts. Treat current values as a local baseline only.</w:t>
      </w:r>
    </w:p>
    <w:p>
      <w:pPr>
        <w:keepLines/>
      </w:pPr>
      <w:r>
        <w:rPr>
          <w:b/>
        </w:rPr>
        <w:t xml:space="preserve">Existing coverage and validation gap: </w:t>
      </w:r>
      <w:r>
        <w:t>The benchmark executables ran successfully; they measure headless throughput and one Canvas visual timing, not live input/render latency.</w:t>
      </w:r>
    </w:p>
    <w:p>
      <w:pPr>
        <w:pStyle w:val="Heading3"/>
      </w:pPr>
      <w:r>
        <w:t>TST-001 — Full interactive Windows smoke acceptance remains open</w:t>
      </w:r>
    </w:p>
    <w:p>
      <w:pPr>
        <w:pStyle w:val="FindingMeta"/>
      </w:pPr>
      <w:r>
        <w:t>Classification: Observation  |  Confidence: High  |  Basis: Observed verification limitation</w:t>
      </w:r>
    </w:p>
    <w:p>
      <w:pPr>
        <w:pStyle w:val="Evidence"/>
        <w:keepLines/>
      </w:pPr>
      <w:r>
        <w:rPr>
          <w:b/>
        </w:rPr>
        <w:t xml:space="preserve">Evidence: </w:t>
      </w:r>
      <w:r>
        <w:t>Release and Debug processes both created responsive Illumo windows with nonzero native handles, accepted CloseMainWindow, and exited code 0 after five seconds. Supported UI control then failed at the OS input layer with GetCursorPos access denied (0x80070005).</w:t>
      </w:r>
    </w:p>
    <w:p>
      <w:pPr>
        <w:keepLines/>
      </w:pPr>
      <w:r>
        <w:rPr>
          <w:b/>
        </w:rPr>
        <w:t xml:space="preserve">Impact and trigger: </w:t>
      </w:r>
      <w:r>
        <w:t>Startup and clean shutdown are evidenced, but camera/edit interaction, Debug console editing/help/commands/ruleset use, native save/load/cancel paths, and pixel-level rendering were not verified.</w:t>
      </w:r>
    </w:p>
    <w:p>
      <w:pPr>
        <w:keepNext/>
        <w:keepLines/>
      </w:pPr>
      <w:r>
        <w:rPr>
          <w:b/>
        </w:rPr>
        <w:t xml:space="preserve">Recommended remediation: </w:t>
      </w:r>
      <w:r>
        <w:t>Run the listed manual smoke in an interactive desktop session with supported input access. Capture dialog and rendering failures without conflating them with the green headless suite.</w:t>
      </w:r>
    </w:p>
    <w:p>
      <w:pPr>
        <w:keepLines/>
      </w:pPr>
      <w:r>
        <w:rPr>
          <w:b/>
        </w:rPr>
        <w:t xml:space="preserve">Existing coverage and validation gap: </w:t>
      </w:r>
      <w:r>
        <w:t>Process-level smoke only; no unsupported automation substitute was used.</w:t>
      </w:r>
    </w:p>
    <w:p>
      <w:pPr>
        <w:pStyle w:val="Heading1"/>
      </w:pPr>
      <w:r>
        <w:t>7. Performance and concurrency assessment</w:t>
      </w:r>
    </w:p>
    <w:p>
      <w:pPr>
        <w:pStyle w:val="Heading2"/>
      </w:pPr>
      <w:r>
        <w:t>7.1 Measurement environment</w:t>
      </w:r>
    </w:p>
    <w:p>
      <w:r>
        <w:t>Measurements used the audited Release build on Windows NT 10.0.26200 with an Intel Core i7-10700K at 3.80 GHz (16 logical processors), NVIDIA RTX 4080 driver 610.88, Visual Studio 18 2026/MSVC 19.51.36248.0, CMake 4.3.3, Ninja 1.13.2, and Clang 22.1.8. Results are a local baseline, not a cross-machine comparison.</w:t>
      </w:r>
    </w:p>
    <w:p>
      <w:pPr>
        <w:pStyle w:val="TableCitation"/>
        <w:keepNext/>
      </w:pPr>
      <w:r>
        <w:t>Audit basis: live checkout and verification evidence recorded in this report.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2376"/>
        <w:gridCol w:w="3744"/>
      </w:tblGrid>
      <w:tr>
        <w:trPr>
          <w:tblHeader w:val="true"/>
          <w:cantSplit/>
        </w:trPr>
        <w:tc>
          <w:tcPr>
            <w:tcW w:type="dxa" w:w="3240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Workload</w:t>
            </w:r>
          </w:p>
        </w:tc>
        <w:tc>
          <w:tcPr>
            <w:tcW w:type="dxa" w:w="2376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Measured result</w:t>
            </w:r>
          </w:p>
        </w:tc>
        <w:tc>
          <w:tcPr>
            <w:tcW w:type="dxa" w:w="3744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Interpretation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Dense Game of Life 80x60, N=200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56,798.8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Small direct serial path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Dense 256x256, N=40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4,272.1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Size scaling baseline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Dense 512x512 serial / parallel-4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1,083.8 / 2,490.1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Parallel gain on broad dense work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Canvas.tickVisual 256x256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0.405 ms/frame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Headless presentation timing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Sparse 24x24 chunks serial / parallel-4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675.5 / 1,531.5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Broad sparse target gain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Wide 256 blinkers candidate / full chunks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5,655.0 / 404.9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Candidate specialization matters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16,384 blinkers retained serial / p4 / p8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34.6 / 38.3 / 39.5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Small worker-count delta on this workload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Local frontier blocks frontier / complete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37,679.0 / 2,127.4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Changed-frontier specialization matters</w:t>
            </w:r>
          </w:p>
        </w:tc>
      </w:tr>
      <w:tr>
        <w:trPr>
          <w:cantSplit/>
        </w:trPr>
        <w:tc>
          <w:tcPr>
            <w:tcW w:type="dxa" w:w="32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Wireworld conductor candidates / halos</w:t>
            </w:r>
          </w:p>
        </w:tc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9,524.7 / 5,922.1 gen/s</w:t>
            </w:r>
          </w:p>
        </w:tc>
        <w:tc>
          <w:tcPr>
            <w:tcW w:type="dxa" w:w="374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Counting mask changes path economics</w:t>
            </w:r>
          </w:p>
        </w:tc>
      </w:tr>
    </w:tbl>
    <w:p>
      <w:pPr>
        <w:pStyle w:val="Heading2"/>
      </w:pPr>
      <w:r>
        <w:t>7.2 Assessment</w:t>
      </w:r>
    </w:p>
    <w:p>
      <w:pPr>
        <w:pStyle w:val="ListBullet"/>
      </w:pPr>
      <w:r>
        <w:t>The adaptive simulation design is evidence-backed: candidate and frontier paths materially outperform broad alternatives on their intended workloads.</w:t>
      </w:r>
    </w:p>
    <w:p>
      <w:pPr>
        <w:pStyle w:val="ListBullet"/>
      </w:pPr>
      <w:r>
        <w:t>Parallel gains are not uniform. Retain thresholds and bounded worker counts; measure frame-time percentiles before changing them.</w:t>
      </w:r>
    </w:p>
    <w:p>
      <w:pPr>
        <w:pStyle w:val="ListBullet"/>
      </w:pPr>
      <w:r>
        <w:t>The next performance investigations should be presentation invalidation locality and live frame latency, not speculative architectural layers.</w:t>
      </w:r>
    </w:p>
    <w:p>
      <w:pPr>
        <w:pStyle w:val="ListBullet"/>
      </w:pPr>
      <w:r>
        <w:t>The synchronous generation call remains the concurrency limit for responsiveness even when worker throughput is good (SIM-003).</w:t>
      </w:r>
    </w:p>
    <w:p>
      <w:pPr>
        <w:pStyle w:val="Heading1"/>
      </w:pPr>
      <w:r>
        <w:t>8. Portability and platform assessment</w:t>
      </w:r>
    </w:p>
    <w:p>
      <w:pPr>
        <w:pStyle w:val="Heading2"/>
      </w:pPr>
      <w:r>
        <w:t>8.1 Windows</w:t>
      </w:r>
    </w:p>
    <w:p>
      <w:r>
        <w:t>Windows/MSVC is the only verified build path. Release and Debug startup created responsive native windows and exited cleanly, but full interaction and native dialog acceptance remain open. The Save-dialog flags and ANSI fixed buffer are source-confirmed defects independent of that UI-control limitation.</w:t>
      </w:r>
    </w:p>
    <w:p>
      <w:pPr>
        <w:pStyle w:val="Heading2"/>
      </w:pPr>
      <w:r>
        <w:t>8.2 Linux</w:t>
      </w:r>
    </w:p>
    <w:p>
      <w:r>
        <w:t>Linux is unsupported. The selected entry point references removed composition/services APIs and is expected to fail compilation after dependency discovery. No native compiler, GTK dialog, OpenGL, or runtime behavior was validated.</w:t>
      </w:r>
    </w:p>
    <w:p>
      <w:pPr>
        <w:pStyle w:val="Heading2"/>
      </w:pPr>
      <w:r>
        <w:t>8.3 macOS</w:t>
      </w:r>
    </w:p>
    <w:p>
      <w:r>
        <w:t>macOS is unsupported. The entry point is stale and the CMake project does not enable Objective-C++ for a selected .mm source. Native AppleClang, Cocoa panel, OpenGL context/profile, interaction, and shutdown validation are required before support claims.</w:t>
      </w:r>
    </w:p>
    <w:p>
      <w:pPr>
        <w:pStyle w:val="Heading2"/>
      </w:pPr>
      <w:r>
        <w:t>8.4 Toolchain portability</w:t>
      </w:r>
    </w:p>
    <w:p>
      <w:r>
        <w:t>The Clang failures are narrow and manually confirmed, but they have outsized verification impact because they block both the production-line coverage gate and a clean clang-tidy sweep. Fixing PORT-004 should precede interpreting analyzer noise or publishing a coverage percentage.</w:t>
      </w:r>
    </w:p>
    <w:p>
      <w:pPr>
        <w:pStyle w:val="Heading1"/>
      </w:pPr>
      <w:r>
        <w:t>9. Testing, coverage, and verification results</w:t>
      </w:r>
    </w:p>
    <w:p>
      <w:pPr>
        <w:pStyle w:val="TableCitation"/>
        <w:keepNext/>
      </w:pPr>
      <w:r>
        <w:t>Audit basis: live checkout and verification evidence recorded in this report.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296"/>
        <w:gridCol w:w="5688"/>
      </w:tblGrid>
      <w:tr>
        <w:trPr>
          <w:tblHeader w:val="true"/>
          <w:cantSplit/>
        </w:trPr>
        <w:tc>
          <w:tcPr>
            <w:tcW w:type="dxa" w:w="2376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Check</w:t>
            </w:r>
          </w:p>
        </w:tc>
        <w:tc>
          <w:tcPr>
            <w:tcW w:type="dxa" w:w="1296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Result</w:t>
            </w:r>
          </w:p>
        </w:tc>
        <w:tc>
          <w:tcPr>
            <w:tcW w:type="dxa" w:w="5688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Evidence / limitation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Configure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cmake -S Illumo -B build; VS 18 2026, MSVC 19.51.36248.0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Release build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Default build completed; IllumoDocs and 136 tests integrated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Release CTest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136/136 Illumo tests; 6.20 s explicit CTest run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build/tests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136/136; 15.03 s; ASan-linked test build; known LNK4300 warning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Coverage configure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Ninja + Clang 22.1.8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IllumoCoverage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Blocked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TestAllocators.cpp:247 Clang error; no percentage/denominator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clang-tidy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Blocked/partial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51 unique first-party .cpp TUs enumerated; compile blockers manually confirmed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Microbenchmarks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Illumo.Sim.MicroBench and Illumo.Sim.SparseMicroBench completed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Release process smoke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Partial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Responsive window, native handle, clean close, exit code 0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Debug process smoke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Partial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Responsive window, native handle, clean close, exit code 0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Interactive GUI/dialog smoke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Blocked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Supported input control denied by OS; no substitute used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Documentation build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44-page book + 8-page chart pack; 52 pages visually reviewed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Guidance validation</w:t>
            </w:r>
          </w:p>
        </w:tc>
        <w:tc>
          <w:tcPr>
            <w:tcW w:type="dxa" w:w="129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Pass</w:t>
            </w:r>
          </w:p>
        </w:tc>
        <w:tc>
          <w:tcPr>
            <w:tcW w:type="dxa" w:w="5688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16 files; zero placeholders, missing paths, or inheritance failures</w:t>
            </w:r>
          </w:p>
        </w:tc>
      </w:tr>
    </w:tbl>
    <w:p>
      <w:pPr>
        <w:pStyle w:val="Heading2"/>
      </w:pPr>
      <w:r>
        <w:t>9.1 Compiler and analyzer diagnostics</w:t>
      </w:r>
    </w:p>
    <w:p>
      <w:pPr>
        <w:pStyle w:val="ListBullet"/>
      </w:pPr>
      <w:r>
        <w:t>MSVC first-party warnings: RenderWindow unused width/height/title parameters and SysCmdLine size_t-to-long conversion.</w:t>
      </w:r>
    </w:p>
    <w:p>
      <w:pPr>
        <w:pStyle w:val="ListBullet"/>
      </w:pPr>
      <w:r>
        <w:t>Clang additional warnings included omitted override annotations and AssetManager initialization/order or unused-member debt; only source-confirmed material findings are elevated in section 6.</w:t>
      </w:r>
    </w:p>
    <w:p>
      <w:pPr>
        <w:pStyle w:val="ListBullet"/>
      </w:pPr>
      <w:r>
        <w:t>Analyzer output was not treated as fact merely because a checker emitted it; manually confirmed diagnostics are represented by concrete register items.</w:t>
      </w:r>
    </w:p>
    <w:p>
      <w:pPr>
        <w:pStyle w:val="Heading2"/>
      </w:pPr>
      <w:r>
        <w:t>9.2 What the green suite does not prove</w:t>
      </w:r>
    </w:p>
    <w:p>
      <w:pPr>
        <w:pStyle w:val="ListBullet"/>
      </w:pPr>
      <w:r>
        <w:t>Live OpenGL pixel correctness, high-DPI viewport behavior, native dialogs, or Linux/macOS viability.</w:t>
      </w:r>
    </w:p>
    <w:p>
      <w:pPr>
        <w:pStyle w:val="ListBullet"/>
      </w:pPr>
      <w:r>
        <w:t>Failure injection for allocation, disk write, thread creation, resource compilation, or command overflow retry.</w:t>
      </w:r>
    </w:p>
    <w:p>
      <w:pPr>
        <w:pStyle w:val="ListBullet"/>
      </w:pPr>
      <w:r>
        <w:t>Long-running Release input-queue memory behavior or adversarial sparse-file memory budgets.</w:t>
      </w:r>
    </w:p>
    <w:p>
      <w:pPr>
        <w:pStyle w:val="Heading1"/>
      </w:pPr>
      <w:r>
        <w:t>10. Prioritized remediation roadmap</w:t>
      </w:r>
    </w:p>
    <w:p>
      <w:pPr>
        <w:pStyle w:val="Heading2"/>
      </w:pPr>
      <w:r>
        <w:t>10.1 Priority 0 — protect data and deterministic frame/resource state</w:t>
      </w:r>
    </w:p>
    <w:p>
      <w:pPr>
        <w:pStyle w:val="ListNumber"/>
      </w:pPr>
      <w:r>
        <w:t>Make save overwrite atomic (SIM-006) and fix the Windows Save dialog so new files are possible (PORT-001).</w:t>
      </w:r>
    </w:p>
    <w:p>
      <w:pPr>
        <w:pStyle w:val="ListNumber"/>
      </w:pPr>
      <w:r>
        <w:t>Make GL resources RAII-safe or explicitly destroy before registry replacement (RND-001).</w:t>
      </w:r>
    </w:p>
    <w:p>
      <w:pPr>
        <w:pStyle w:val="ListNumber"/>
      </w:pPr>
      <w:r>
        <w:t>Propagate command enqueue success and retry persistent updates after overflow (RND-002).</w:t>
      </w:r>
    </w:p>
    <w:p>
      <w:pPr>
        <w:pStyle w:val="ListNumber"/>
      </w:pPr>
      <w:r>
        <w:t>Make CanvasView growth transactional and RAII-backed (SIM-002).</w:t>
      </w:r>
    </w:p>
    <w:p>
      <w:pPr>
        <w:pStyle w:val="ListNumber"/>
      </w:pPr>
      <w:r>
        <w:t>Validate input-context IDs and fail module startup on registration exhaustion (SVC-001).</w:t>
      </w:r>
    </w:p>
    <w:p>
      <w:pPr>
        <w:pStyle w:val="ListNumber"/>
      </w:pPr>
      <w:r>
        <w:t>Define and enforce checked world-coordinate bounds at console, camera, save, and neighbor arithmetic boundaries (SIM-001).</w:t>
      </w:r>
    </w:p>
    <w:p>
      <w:pPr>
        <w:pStyle w:val="Heading2"/>
      </w:pPr>
      <w:r>
        <w:t>10.2 Priority 1 — restore truthful contracts and failure propagation</w:t>
      </w:r>
    </w:p>
    <w:p>
      <w:pPr>
        <w:pStyle w:val="ListNumber"/>
      </w:pPr>
      <w:r>
        <w:t>Make resource creation report failure and resolve/remove AssetManager's competing handle model (RND-003/RND-004).</w:t>
      </w:r>
    </w:p>
    <w:p>
      <w:pPr>
        <w:pStyle w:val="ListNumber"/>
      </w:pPr>
      <w:r>
        <w:t>Propagate SparseCellGrid::advance failure; bound and catch sparse-load resource use (SIM-005/SIM-007).</w:t>
      </w:r>
    </w:p>
    <w:p>
      <w:pPr>
        <w:pStyle w:val="ListNumber"/>
      </w:pPr>
      <w:r>
        <w:t>Swap CommandRegistry batches before callbacks; preserve malformed EnvVars sources; fix Windows-path parsing (SVC-002/SVC-003/SVC-004).</w:t>
      </w:r>
    </w:p>
    <w:p>
      <w:pPr>
        <w:pStyle w:val="ListNumber"/>
      </w:pPr>
      <w:r>
        <w:t>Drain or disable Release-only console event queues and align console wrap naming/tests with actual rendering (SVC-005/SVC-006).</w:t>
      </w:r>
    </w:p>
    <w:p>
      <w:pPr>
        <w:pStyle w:val="ListNumber"/>
      </w:pPr>
      <w:r>
        <w:t>Repair Clang compatibility, rerun coverage, then establish the analyzer baseline (PORT-004).</w:t>
      </w:r>
    </w:p>
    <w:p>
      <w:pPr>
        <w:pStyle w:val="Heading2"/>
      </w:pPr>
      <w:r>
        <w:t>10.3 Priority 2 — rendering fidelity, portability, and measured performance</w:t>
      </w:r>
    </w:p>
    <w:p>
      <w:pPr>
        <w:pStyle w:val="ListNumber"/>
      </w:pPr>
      <w:r>
        <w:t>Preserve explicit sprite painter order, unify framebuffer viewport authority, and initialize GL state cache from real defaults (RND-005/RND-006/RND-007).</w:t>
      </w:r>
    </w:p>
    <w:p>
      <w:pPr>
        <w:pStyle w:val="ListNumber"/>
      </w:pPr>
      <w:r>
        <w:t>Synchronize texture upload binding state and make renderer switching explicit (RND-008/RND-009).</w:t>
      </w:r>
    </w:p>
    <w:p>
      <w:pPr>
        <w:pStyle w:val="ListNumber"/>
      </w:pPr>
      <w:r>
        <w:t>Add offscreen/dirty-region presentation invalidation and live frame-latency benchmarks before changing simulation concurrency (SIM-003/SIM-004/PERF-001).</w:t>
      </w:r>
    </w:p>
    <w:p>
      <w:pPr>
        <w:pStyle w:val="ListNumber"/>
      </w:pPr>
      <w:r>
        <w:t>Modernize Windows dialogs to dynamic Unicode paths and complete the interactive acceptance run (PORT-005/TST-001).</w:t>
      </w:r>
    </w:p>
    <w:p>
      <w:pPr>
        <w:pStyle w:val="ListNumber"/>
      </w:pPr>
      <w:r>
        <w:t>Treat Linux/macOS as dedicated port projects with native build/test/smoke evidence; do not fold speculative portability abstractions into Windows work (PORT-002/PORT-003).</w:t>
      </w:r>
    </w:p>
    <w:p>
      <w:pPr>
        <w:pStyle w:val="Heading1"/>
      </w:pPr>
      <w:r>
        <w:t>11. Subsystem and file coverage appendix</w:t>
      </w:r>
    </w:p>
    <w:p>
      <w:pPr>
        <w:pStyle w:val="TableCitation"/>
        <w:keepNext/>
      </w:pPr>
      <w:r>
        <w:t>Audit basis: live checkout and verification evidence recorded in this report.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2520"/>
        <w:gridCol w:w="1080"/>
        <w:gridCol w:w="2664"/>
        <w:gridCol w:w="144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Scope</w:t>
            </w:r>
          </w:p>
        </w:tc>
        <w:tc>
          <w:tcPr>
            <w:tcW w:type="dxa" w:w="2520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Primary path</w:t>
            </w:r>
          </w:p>
        </w:tc>
        <w:tc>
          <w:tcPr>
            <w:tcW w:type="dxa" w:w="1080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Files</w:t>
            </w:r>
          </w:p>
        </w:tc>
        <w:tc>
          <w:tcPr>
            <w:tcW w:type="dxa" w:w="2664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Review focus</w:t>
            </w:r>
          </w:p>
        </w:tc>
        <w:tc>
          <w:tcPr>
            <w:tcW w:type="dxa" w:w="1440"/>
            <w:vAlign w:val="center"/>
            <w:shd w:fill="F2F4F7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t>Depth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App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Illumo/Source/App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Composition, argc/argv, loop/shutdown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Engine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Illumo/Source/Engine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Service/module ownership and lifecycle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Foundation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Illumo/Source/Foundation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Allocators, macros, build metadata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Game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Illumo/Source/Game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Sparse/dense state, view, editing, persistence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Deep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Rulesets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Illumo/Source/Rulesets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Transitions, palettes, compatibility parallelism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Services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Illumo/Source/Services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23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Input, console, registry, env, logging, allocators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Deep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Tests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Illumo/Source/Tests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Harness, exact cases, isolation and assertion gaps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 + execution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Platform/Windows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Illumo/Source/Platform/Windows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Entry, native dialogs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 + partial smoke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Platform/Linux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Illumo/Source/Platform/Linux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Bootstrap and GTK dialogs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Static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Platform/macOS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Illumo/Source/Platform/macOS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Bootstrap, Cocoa dialogs/window scaffold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Static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Rendering core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Illumo/Source/Rendering (direct)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29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Tokens, queue, styles, scene, assets, abstractions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Deep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Rendering/OpenGL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Illumo/Source/Rendering/OpenGL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Registry, device, resources, GL execution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Deep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Rendering/Mock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Illumo/Source/Rendering/Mock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Headless backend contract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 + tests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Rendering/Primitives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Illumo/Source/Rendering/Primitives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Shape/sprite/text batching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Deep 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Shaders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Illumo/Shader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Canvas and triangle GLSL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Build/configuration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Root + Illumo CMake/config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Target composition, docs, coverage, format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Line review + execution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Current documentation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docs source/support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41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Canonical truth, decisions, package maps, builders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Claim reconciliation + build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Operational guidance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Root/.agent/subsystem AGENTS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Inheritance, commands, durable boundaries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Migration + validation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Runtime assets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Illumo/Assets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Boundary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Fonts/licenses/runtime defaults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Provenance/path check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Vendored code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Illumo/thirdparty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Boundary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Dependency provenance and build boundary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No line-by-line audit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Historical material</w:t>
            </w:r>
          </w:p>
        </w:tc>
        <w:tc>
          <w:tcPr>
            <w:tcW w:type="dxa" w:w="252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archive + .agents records</w:t>
            </w:r>
          </w:p>
        </w:tc>
        <w:tc>
          <w:tcPr>
            <w:tcW w:type="dxa" w:w="108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Boundary</w:t>
            </w:r>
          </w:p>
        </w:tc>
        <w:tc>
          <w:tcPr>
            <w:tcW w:type="dxa" w:w="2664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Non-live history</w:t>
            </w:r>
          </w:p>
        </w:tc>
        <w:tc>
          <w:tcPr>
            <w:tcW w:type="dxa" w:w="1440"/>
            <w:vAlign w:val="top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No line-by-line audit</w:t>
            </w:r>
          </w:p>
        </w:tc>
      </w:tr>
    </w:tbl>
    <w:p>
      <w:pPr>
        <w:pStyle w:val="Heading2"/>
      </w:pPr>
      <w:r>
        <w:t>11.1 Guidance files completed</w:t>
      </w:r>
    </w:p>
    <w:p>
      <w:r>
        <w:t>Root AGENTS.md plus child guidance for App, Engine, Foundation, Game, Rulesets, Services, Tests, Platform, Platform/Windows, Platform/Linux, Platform/macOS, Rendering, Rendering/OpenGL, Rendering/Mock, and Rendering/Primitives. .agent/PLANS.md remains the planning-policy route, and the two supplied references now live under .agent/reference.</w:t>
      </w:r>
    </w:p>
    <w:p>
      <w:pPr>
        <w:pStyle w:val="Heading2"/>
      </w:pPr>
      <w:r>
        <w:t>11.2 Change-boundary confirmation</w:t>
      </w:r>
    </w:p>
    <w:p>
      <w:r>
        <w:t>This task changed operational guidance and current documentation sources only, plus the final DOCX deliverable. It did not modify production C++, Objective-C++, GLSL, runtime APIs, public C++ types, save-format bytes, global Codex configuration, memory, skills, branch state, staging area, commits, or remotes. Generated build, coverage, smoke, PDF-render, and DOCX-QA intermediates remain outside the delivered artifact.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/>
        <w:color w:val="59636E"/>
        <w:sz w:val="18"/>
      </w:rPr>
      <w:t>Internal engineering review</w:t>
    </w:r>
    <w:r>
      <w:rPr>
        <w:rFonts w:ascii="Calibri" w:hAnsi="Calibri" w:eastAsia="Calibri"/>
        <w:color w:val="59636E"/>
        <w:sz w:val="18"/>
      </w:rPr>
      <w:tab/>
      <w:t xml:space="preserve">Page </w:t>
    </w:r>
    <w:r>
      <w:rPr>
        <w:rFonts w:ascii="Calibri" w:hAnsi="Calibri" w:eastAsia="Calibri"/>
        <w:color w:val="59636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/>
        <w:color w:val="59636E"/>
        <w:sz w:val="18"/>
      </w:rPr>
      <w:t>Internal engineering review</w:t>
    </w:r>
    <w:r>
      <w:rPr>
        <w:rFonts w:ascii="Calibri" w:hAnsi="Calibri" w:eastAsia="Calibri"/>
        <w:color w:val="59636E"/>
        <w:sz w:val="18"/>
      </w:rPr>
      <w:tab/>
      <w:t xml:space="preserve">Page </w:t>
    </w:r>
    <w:r>
      <w:rPr>
        <w:rFonts w:ascii="Calibri" w:hAnsi="Calibri" w:eastAsia="Calibri"/>
        <w:color w:val="59636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Calibri"/>
        <w:color w:val="59636E"/>
        <w:sz w:val="18"/>
      </w:rPr>
      <w:t>Internal engineering review</w:t>
    </w:r>
    <w:r>
      <w:rPr>
        <w:rFonts w:ascii="Calibri" w:hAnsi="Calibri" w:eastAsia="Calibri"/>
        <w:color w:val="59636E"/>
        <w:sz w:val="18"/>
      </w:rPr>
      <w:tab/>
      <w:t xml:space="preserve">Page </w:t>
    </w:r>
    <w:r>
      <w:rPr>
        <w:rFonts w:ascii="Calibri" w:hAnsi="Calibri" w:eastAsia="Calibri"/>
        <w:color w:val="59636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b/>
        <w:color w:val="59636E"/>
        <w:sz w:val="18"/>
      </w:rPr>
      <w:t>ILLUMO ENGINEERING AUDIT</w:t>
    </w:r>
    <w:r>
      <w:rPr>
        <w:rFonts w:ascii="Calibri" w:hAnsi="Calibri" w:eastAsia="Calibri"/>
        <w:color w:val="59636E"/>
        <w:sz w:val="18"/>
      </w:rPr>
      <w:tab/>
      <w:t>Detached HEAD eae3c4fc2b6e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b/>
        <w:color w:val="59636E"/>
        <w:sz w:val="18"/>
      </w:rPr>
      <w:t>ILLUMO ENGINEERING AUDIT</w:t>
    </w:r>
    <w:r>
      <w:rPr>
        <w:rFonts w:ascii="Calibri" w:hAnsi="Calibri" w:eastAsia="Calibri"/>
        <w:color w:val="59636E"/>
        <w:sz w:val="18"/>
      </w:rPr>
      <w:tab/>
      <w:t>Detached HEAD eae3c4fc2b6e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b/>
        <w:color w:val="59636E"/>
        <w:sz w:val="18"/>
      </w:rPr>
      <w:t>ILLUMO ENGINEERING AUDIT</w:t>
    </w:r>
    <w:r>
      <w:rPr>
        <w:rFonts w:ascii="Calibri" w:hAnsi="Calibri" w:eastAsia="Calibri"/>
        <w:color w:val="59636E"/>
        <w:sz w:val="18"/>
      </w:rPr>
      <w:tab/>
      <w:t>Detached HEAD eae3c4fc2b6e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Style w:val="ListBulle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Style w:val="ListNumber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 w:eastAsia="Calibri"/>
      <w:color w:val="000000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after="160" w:lineRule="auto" w:line="280"/>
      <w:ind w:left="720" w:hanging="360"/>
      <w:contextualSpacing/>
      <w:numPr>
        <w:ilvl w:val="0"/>
        <w:numId w:val="10"/>
      </w:numPr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spacing w:after="160" w:lineRule="auto" w:line="280"/>
      <w:ind w:left="720" w:hanging="360"/>
      <w:contextualSpacing/>
      <w:numPr>
        <w:ilvl w:val="0"/>
        <w:numId w:val="11"/>
      </w:numPr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theadKicker">
    <w:name w:val="Masthead Kicker"/>
    <w:basedOn w:val="Normal"/>
    <w:pPr>
      <w:spacing w:before="0" w:after="80" w:lineRule="auto" w:line="264"/>
    </w:pPr>
    <w:rPr>
      <w:rFonts w:ascii="Calibri" w:hAnsi="Calibri" w:eastAsia="Calibri"/>
      <w:b/>
      <w:i w:val="0"/>
      <w:color w:val="0B2545"/>
      <w:sz w:val="19"/>
    </w:rPr>
  </w:style>
  <w:style w:type="paragraph" w:customStyle="1" w:styleId="MastheadTitle">
    <w:name w:val="Masthead Title"/>
    <w:basedOn w:val="Normal"/>
    <w:pPr>
      <w:spacing w:before="0" w:after="80" w:lineRule="auto" w:line="264"/>
    </w:pPr>
    <w:rPr>
      <w:rFonts w:ascii="Calibri" w:hAnsi="Calibri" w:eastAsia="Calibri"/>
      <w:b/>
      <w:i w:val="0"/>
      <w:color w:val="000000"/>
      <w:sz w:val="46"/>
    </w:rPr>
  </w:style>
  <w:style w:type="paragraph" w:customStyle="1" w:styleId="MastheadSubtitle">
    <w:name w:val="Masthead Subtitle"/>
    <w:basedOn w:val="Normal"/>
    <w:pPr>
      <w:spacing w:before="0" w:after="280" w:lineRule="auto" w:line="264"/>
    </w:pPr>
    <w:rPr>
      <w:rFonts w:ascii="Calibri" w:hAnsi="Calibri" w:eastAsia="Calibri"/>
      <w:b w:val="0"/>
      <w:i w:val="0"/>
      <w:color w:val="59636E"/>
      <w:sz w:val="27"/>
    </w:rPr>
  </w:style>
  <w:style w:type="paragraph" w:customStyle="1" w:styleId="MastheadMetadata">
    <w:name w:val="Masthead Metadata"/>
    <w:basedOn w:val="Normal"/>
    <w:pPr>
      <w:spacing w:before="0" w:after="40" w:lineRule="auto" w:line="264"/>
    </w:pPr>
    <w:rPr>
      <w:rFonts w:ascii="Calibri" w:hAnsi="Calibri" w:eastAsia="Calibri"/>
      <w:b w:val="0"/>
      <w:i w:val="0"/>
      <w:color w:val="000000"/>
      <w:sz w:val="22"/>
    </w:rPr>
  </w:style>
  <w:style w:type="paragraph" w:customStyle="1" w:styleId="FindingMeta">
    <w:name w:val="Finding Meta"/>
    <w:basedOn w:val="Normal"/>
    <w:pPr>
      <w:keepNext/>
      <w:spacing w:before="0" w:after="80" w:lineRule="auto" w:line="264"/>
    </w:pPr>
    <w:rPr>
      <w:rFonts w:ascii="Calibri" w:hAnsi="Calibri" w:eastAsia="Calibri"/>
      <w:b/>
      <w:i w:val="0"/>
      <w:color w:val="59636E"/>
      <w:sz w:val="19"/>
    </w:rPr>
  </w:style>
  <w:style w:type="paragraph" w:customStyle="1" w:styleId="Evidence">
    <w:name w:val="Evidence"/>
    <w:basedOn w:val="Normal"/>
    <w:pPr>
      <w:spacing w:before="0" w:after="100" w:lineRule="auto" w:line="264"/>
    </w:pPr>
    <w:rPr>
      <w:rFonts w:ascii="Calibri" w:hAnsi="Calibri" w:eastAsia="Calibri"/>
      <w:b w:val="0"/>
      <w:i w:val="0"/>
      <w:color w:val="0B2545"/>
      <w:sz w:val="21"/>
    </w:rPr>
  </w:style>
  <w:style w:type="paragraph" w:customStyle="1" w:styleId="TableText">
    <w:name w:val="Table Text"/>
    <w:basedOn w:val="Normal"/>
    <w:pPr>
      <w:spacing w:before="0" w:after="0" w:lineRule="auto" w:line="264"/>
    </w:pPr>
    <w:rPr>
      <w:rFonts w:ascii="Calibri" w:hAnsi="Calibri" w:eastAsia="Calibri"/>
      <w:b w:val="0"/>
      <w:i w:val="0"/>
      <w:color w:val="000000"/>
      <w:sz w:val="19"/>
    </w:rPr>
  </w:style>
  <w:style w:type="paragraph" w:customStyle="1" w:styleId="TableHeader">
    <w:name w:val="Table Header"/>
    <w:basedOn w:val="Normal"/>
    <w:pPr>
      <w:spacing w:before="0" w:after="0" w:lineRule="auto" w:line="264"/>
    </w:pPr>
    <w:rPr>
      <w:rFonts w:ascii="Calibri" w:hAnsi="Calibri" w:eastAsia="Calibri"/>
      <w:b/>
      <w:i w:val="0"/>
      <w:color w:val="0B2545"/>
      <w:sz w:val="19"/>
    </w:rPr>
  </w:style>
  <w:style w:type="paragraph" w:customStyle="1" w:styleId="TableCitation">
    <w:name w:val="Table Citation"/>
    <w:basedOn w:val="Normal"/>
    <w:pPr>
      <w:spacing w:before="80" w:after="80" w:lineRule="auto" w:line="264"/>
    </w:pPr>
    <w:rPr>
      <w:rFonts w:ascii="Calibri" w:hAnsi="Calibri" w:eastAsia="Calibri"/>
      <w:b w:val="0"/>
      <w:i/>
      <w:color w:val="59636E"/>
      <w:sz w:val="19"/>
    </w:rPr>
  </w:style>
  <w:style w:type="paragraph" w:customStyle="1" w:styleId="Callout">
    <w:name w:val="Callout"/>
    <w:basedOn w:val="Normal"/>
    <w:pPr>
      <w:spacing w:before="80" w:after="120" w:lineRule="auto" w:line="264"/>
    </w:pPr>
    <w:rPr>
      <w:rFonts w:ascii="Calibri" w:hAnsi="Calibri" w:eastAsia="Calibri"/>
      <w:b w:val="0"/>
      <w:i w:val="0"/>
      <w:color w:val="0B2545"/>
      <w:sz w:val="21"/>
    </w:rPr>
  </w:style>
  <w:style w:type="paragraph" w:customStyle="1" w:styleId="SmallNote">
    <w:name w:val="Small Note"/>
    <w:basedOn w:val="Normal"/>
    <w:pPr>
      <w:spacing w:before="0" w:after="80" w:lineRule="auto" w:line="264"/>
    </w:pPr>
    <w:rPr>
      <w:rFonts w:ascii="Calibri" w:hAnsi="Calibri" w:eastAsia="Calibri"/>
      <w:b w:val="0"/>
      <w:i w:val="0"/>
      <w:color w:val="5963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Illumo Agent Context and Codebase Audit</dc:title>
  <dc:subject>Operational-guidance migration and first-party engineering audit</dc:subject>
  <dc:creator>Codex</dc:creator>
  <cp:keywords>Illumo, C++, OpenGL, guidance migration, code audit, engineering findings</cp:keywords>
  <dc:description>Generated from detached HEAD eae3c4fc2b6e; production runtime source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