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pPr>
      <w:r>
        <w:rPr/>
        <w:t xml:space="preserve">Paper Title* (use style: </w:t>
      </w:r>
      <w:r>
        <w:rPr>
          <w:i/>
          <w:iCs/>
        </w:rPr>
        <w:t>paper title</w:t>
      </w:r>
      <w:r>
        <w:rPr/>
        <w:t>)</w:t>
      </w:r>
    </w:p>
    <w:p>
      <w:pPr>
        <w:pStyle w:val="Author"/>
        <w:spacing w:beforeAutospacing="1" w:afterAutospacing="1"/>
        <w:rPr>
          <w:sz w:val="16"/>
          <w:szCs w:val="16"/>
        </w:rPr>
      </w:pPr>
      <w:r>
        <w:rPr>
          <w:sz w:val="16"/>
          <w:szCs w:val="16"/>
        </w:rPr>
        <w:t>*Note: Sub-titles are not captured in Xplore and should not be used</w:t>
      </w:r>
    </w:p>
    <w:p>
      <w:pPr>
        <w:sectPr>
          <w:footerReference w:type="first" r:id="rId2"/>
          <w:type w:val="nextPage"/>
          <w:pgSz w:w="12240" w:h="15840"/>
          <w:pgMar w:left="893" w:right="893" w:gutter="0" w:header="0" w:top="1080" w:footer="720" w:bottom="1440"/>
          <w:pgNumType w:fmt="decimal"/>
          <w:formProt w:val="false"/>
          <w:titlePg/>
          <w:textDirection w:val="lrTb"/>
          <w:docGrid w:type="default" w:linePitch="360" w:charSpace="8192"/>
        </w:sectPr>
      </w:pPr>
    </w:p>
    <w:p>
      <w:pPr>
        <w:pStyle w:val="Author"/>
        <w:spacing w:beforeAutospacing="1" w:after="40"/>
        <w:rPr>
          <w:sz w:val="18"/>
          <w:szCs w:val="18"/>
        </w:rPr>
      </w:pPr>
      <w:r>
        <w:rPr>
          <w:sz w:val="18"/>
          <w:szCs w:val="18"/>
        </w:rPr>
        <w:br/>
      </w:r>
    </w:p>
    <w:p>
      <w:pPr>
        <w:sectPr>
          <w:type w:val="continuous"/>
          <w:pgSz w:w="12240" w:h="15840"/>
          <w:pgMar w:left="893" w:right="893" w:gutter="0" w:header="0" w:top="1080" w:footer="720" w:bottom="1440"/>
          <w:cols w:num="4" w:space="216" w:equalWidth="true" w:sep="false"/>
          <w:formProt w:val="false"/>
          <w:textDirection w:val="lrTb"/>
          <w:docGrid w:type="default" w:linePitch="360" w:charSpace="8192"/>
        </w:sectPr>
      </w:pPr>
    </w:p>
    <w:p>
      <w:pPr>
        <w:pStyle w:val="Author"/>
        <w:spacing w:beforeAutospacing="1" w:after="40"/>
        <w:jc w:val="both"/>
        <w:rPr>
          <w:sz w:val="28"/>
          <w:szCs w:val="28"/>
        </w:rPr>
      </w:pPr>
      <w:r>
        <w:rPr>
          <w:sz w:val="28"/>
          <w:szCs w:val="28"/>
        </w:rPr>
        <w:t>Mohamed Eljahmi</w:t>
      </w:r>
    </w:p>
    <w:p>
      <w:pPr>
        <w:pStyle w:val="Author"/>
        <w:spacing w:beforeAutospacing="1" w:after="40"/>
        <w:jc w:val="both"/>
        <w:rPr>
          <w:sz w:val="28"/>
          <w:szCs w:val="28"/>
        </w:rPr>
      </w:pPr>
      <w:r>
        <w:rPr>
          <w:sz w:val="28"/>
          <w:szCs w:val="28"/>
        </w:rPr>
      </w:r>
    </w:p>
    <w:p>
      <w:pPr>
        <w:pStyle w:val="Author"/>
        <w:spacing w:beforeAutospacing="1" w:after="40"/>
        <w:jc w:val="both"/>
        <w:rPr>
          <w:sz w:val="28"/>
          <w:szCs w:val="28"/>
        </w:rPr>
      </w:pPr>
      <w:r>
        <w:rPr>
          <w:sz w:val="28"/>
          <w:szCs w:val="28"/>
        </w:rPr>
      </w:r>
    </w:p>
    <w:p>
      <w:pPr>
        <w:pStyle w:val="Author"/>
        <w:spacing w:beforeAutospacing="1" w:after="40"/>
        <w:jc w:val="both"/>
        <w:rPr>
          <w:sz w:val="16"/>
          <w:szCs w:val="16"/>
        </w:rPr>
      </w:pPr>
      <w:r>
        <w:rPr>
          <w:sz w:val="16"/>
          <w:szCs w:val="16"/>
        </w:rPr>
      </w:r>
    </w:p>
    <w:p>
      <w:pPr>
        <w:sectPr>
          <w:type w:val="continuous"/>
          <w:pgSz w:w="12240" w:h="15840"/>
          <w:pgMar w:left="893" w:right="893" w:gutter="0" w:header="0" w:top="1080" w:footer="720" w:bottom="1440"/>
          <w:cols w:num="4" w:space="216" w:equalWidth="true" w:sep="false"/>
          <w:formProt w:val="false"/>
          <w:textDirection w:val="lrTb"/>
          <w:docGrid w:type="default" w:linePitch="360" w:charSpace="8192"/>
        </w:sectPr>
      </w:pPr>
    </w:p>
    <w:p>
      <w:pPr>
        <w:pStyle w:val="Abstract"/>
        <w:rPr>
          <w:i/>
          <w:i/>
          <w:iCs/>
        </w:rPr>
      </w:pPr>
      <w:r>
        <w:rPr/>
      </w:r>
    </w:p>
    <w:p>
      <w:pPr>
        <w:pStyle w:val="Abstract"/>
        <w:rPr>
          <w:i/>
          <w:i/>
          <w:iCs/>
        </w:rPr>
      </w:pPr>
      <w:r>
        <w:rPr>
          <w:i/>
          <w:iCs/>
        </w:rPr>
        <w:t>Abstract</w:t>
      </w:r>
      <w:r>
        <w:rPr/>
        <w:t xml:space="preserve">—This </w:t>
      </w:r>
      <w:r>
        <w:rPr/>
        <w:t>homework</w:t>
      </w:r>
      <w:r>
        <w:rPr/>
        <w:t xml:space="preserve"> compares two classes of motion-planning algorithms within a wildfire-response simulation. A discrete </w:t>
      </w:r>
      <w:r>
        <w:rPr>
          <w:rStyle w:val="StrongEmphasis"/>
          <w:b/>
        </w:rPr>
        <w:t>A*</w:t>
      </w:r>
      <w:r>
        <w:rPr/>
        <w:t xml:space="preserve"> planner drives a Wumpus arsonist that ignites obstacles, while a sampling-based </w:t>
      </w:r>
      <w:r>
        <w:rPr>
          <w:rStyle w:val="StrongEmphasis"/>
          <w:b/>
        </w:rPr>
        <w:t>Probabilistic Road Map (PRM)</w:t>
      </w:r>
      <w:r>
        <w:rPr/>
        <w:t xml:space="preserve"> guides a firetruck attempting to extinguish fires. Both planners operate in a 250 m × 250 m field populated by tetromino-shaped obstacles and governed by dynamic fire-spread physics. Five independent simulations of 3 600 s each were executed to evaluate score performance and computational cost. Results show that the A* planner achieves faster planning at lower CPU cost, while PRM produces smoother, longer trajectories with higher computation overhead. Timing and scoring metrics confirm the complementary strengths of combinatorial and sampling-based planning for reactive versus global coverage tasks in dynamic environments.</w:t>
      </w:r>
    </w:p>
    <w:p>
      <w:pPr>
        <w:pStyle w:val="Keywords"/>
        <w:rPr/>
      </w:pPr>
      <w:r>
        <w:rPr/>
        <w:t>Keywords—component, formatting, style, styling, insert (</w:t>
      </w:r>
      <w:r>
        <w:rPr>
          <w:b w:val="false"/>
        </w:rPr>
        <w:t>key words</w:t>
      </w:r>
      <w:r>
        <w:rPr/>
        <w:t>)</w:t>
      </w:r>
    </w:p>
    <w:p>
      <w:pPr>
        <w:pStyle w:val="Heading1"/>
        <w:ind w:hanging="0"/>
        <w:rPr/>
      </w:pPr>
      <w:r>
        <w:rPr/>
        <w:t>Introduction</w:t>
      </w:r>
    </w:p>
    <w:p>
      <w:pPr>
        <w:pStyle w:val="TextBody"/>
        <w:rPr/>
      </w:pPr>
      <w:r>
        <w:rPr/>
        <w:t xml:space="preserve">Wildfire response presents a critical motion-planning challenge for autonomous systems operating in uncertain, dynamic environments. The goal of this work is to evaluate two distinct classes of motion-planning algorithms—combinatorial and sampling-based—within a common simulated wildfire scenario. A discrete A* search planner governs a </w:t>
      </w:r>
      <w:r>
        <w:rPr>
          <w:rStyle w:val="Emphasis"/>
        </w:rPr>
        <w:t>Wumpus</w:t>
      </w:r>
      <w:r>
        <w:rPr/>
        <w:t xml:space="preserve"> arsonist that navigates a grid to ignite obstacles, while a continuous probabilistic road-map (PRM) planner directs a firetruck attempting to extinguish those fires.</w:t>
      </w:r>
    </w:p>
    <w:p>
      <w:pPr>
        <w:pStyle w:val="TextBody"/>
        <w:rPr/>
      </w:pPr>
      <w:r>
        <w:rPr/>
        <w:t>The assignment’s intent is to highlight the trade-offs between deterministic grid search and probabilistic sampling under identical world dynamics. The comparison focuses on path-planning efficiency, computational resources, and overall task performance over five randomized runs of 3 600 s each.</w:t>
      </w:r>
    </w:p>
    <w:p>
      <w:pPr>
        <w:pStyle w:val="TextBody"/>
        <w:rPr/>
      </w:pPr>
      <w:r>
        <w:rPr/>
        <w:t>.</w:t>
      </w:r>
    </w:p>
    <w:p>
      <w:pPr>
        <w:pStyle w:val="Heading1"/>
        <w:ind w:hanging="0"/>
        <w:rPr/>
      </w:pPr>
      <w:r>
        <w:rPr/>
        <w:t>Environment</w:t>
      </w:r>
      <w:r>
        <w:rPr/>
        <w:t xml:space="preserve"> and Simulation setup</w:t>
      </w:r>
    </w:p>
    <w:p>
      <w:pPr>
        <w:pStyle w:val="TextBody"/>
        <w:ind w:hanging="0"/>
        <w:jc w:val="start"/>
        <w:rPr/>
      </w:pPr>
      <w:r>
        <w:rPr/>
        <w:t xml:space="preserve">The environment is a 250 m × 250 m square field populated with tetromino-shaped obstacle clusters covering approximately 10 % of the area. Each obstacle tile represents a 5 m cell, and four fire states are modeled: </w:t>
      </w:r>
      <w:r>
        <w:rPr>
          <w:rStyle w:val="Emphasis"/>
        </w:rPr>
        <w:t>intact</w:t>
      </w:r>
      <w:r>
        <w:rPr/>
        <w:t xml:space="preserve">, </w:t>
      </w:r>
      <w:r>
        <w:rPr>
          <w:rStyle w:val="Emphasis"/>
        </w:rPr>
        <w:t>burning</w:t>
      </w:r>
      <w:r>
        <w:rPr/>
        <w:t xml:space="preserve">, </w:t>
      </w:r>
      <w:r>
        <w:rPr>
          <w:rStyle w:val="Emphasis"/>
        </w:rPr>
        <w:t>extinguished</w:t>
      </w:r>
      <w:r>
        <w:rPr/>
        <w:t xml:space="preserve">, and </w:t>
      </w:r>
      <w:r>
        <w:rPr>
          <w:rStyle w:val="Emphasis"/>
        </w:rPr>
        <w:t>burned</w:t>
      </w:r>
      <w:r>
        <w:rPr/>
        <w:t>. Fires ignite either by the Wumpus or by thermal spread, transitioning from burning to burned after 10 s while propagating to obstacles within a 30 m radius. The Firetruck extinguishes a burning obstacle after remaining within 10 m of it for at least 5 s.</w:t>
      </w:r>
    </w:p>
    <w:p>
      <w:pPr>
        <w:pStyle w:val="TextBody"/>
        <w:rPr/>
      </w:pPr>
      <w:r>
        <w:rPr/>
        <w:t xml:space="preserve">Both agents begin on opposite sides of the map. The simulation advances in 1 s increments and terminates after 3 600 s or when all obstacles are burned or extinguished. Each run is logged as a CSV file containing timestamped </w:t>
      </w:r>
      <w:r>
        <w:rPr>
          <w:rStyle w:val="Emphasis"/>
        </w:rPr>
        <w:t>ignite</w:t>
      </w:r>
      <w:r>
        <w:rPr/>
        <w:t xml:space="preserve">, </w:t>
      </w:r>
      <w:r>
        <w:rPr>
          <w:rStyle w:val="Emphasis"/>
        </w:rPr>
        <w:t>burned</w:t>
      </w:r>
      <w:r>
        <w:rPr/>
        <w:t xml:space="preserve">, and </w:t>
      </w:r>
      <w:r>
        <w:rPr>
          <w:rStyle w:val="Emphasis"/>
        </w:rPr>
        <w:t>extinguish</w:t>
      </w:r>
      <w:r>
        <w:rPr/>
        <w:t xml:space="preserve"> events, and visualized as a GIF animation. Five seeds (1000–1004) are used for statistical consistency. Implementation is in Python 3.10 using NumPy and Matplotlib for numerical and visualization tasks.</w:t>
      </w:r>
    </w:p>
    <w:p>
      <w:pPr>
        <w:pStyle w:val="Heading1"/>
        <w:ind w:hanging="0"/>
        <w:jc w:val="center"/>
        <w:rPr/>
      </w:pPr>
      <w:r>
        <w:rPr/>
        <w:t>Discrete Planner -  Wumpus (A*)</w:t>
      </w:r>
    </w:p>
    <w:p>
      <w:pPr>
        <w:pStyle w:val="Normal"/>
        <w:ind w:hanging="0"/>
        <w:jc w:val="start"/>
        <w:rPr/>
      </w:pPr>
      <w:r>
        <w:rPr/>
        <w:t>The Wumpus moves on a 4-connected grid using an A* search planner implemented in plan/astar.py. The planner uses the Euclidean distance heuristic and computes minimal-cost paths from the Wumpus’s current cell to a free vantage cell adjacent to the nearest intact obstacle. Each step executes the following sequence:</w:t>
      </w:r>
    </w:p>
    <w:p>
      <w:pPr>
        <w:pStyle w:val="Normal"/>
        <w:spacing w:lineRule="auto" w:line="240" w:before="456" w:after="456"/>
        <w:ind w:hanging="0"/>
        <w:jc w:val="start"/>
        <w:rPr/>
      </w:pPr>
      <w:r>
        <w:rPr/>
        <w:t xml:space="preserve">1. </w:t>
      </w:r>
      <w:r>
        <w:rPr/>
        <w:t>select target obstacle,</w:t>
      </w:r>
    </w:p>
    <w:p>
      <w:pPr>
        <w:pStyle w:val="Normal"/>
        <w:spacing w:lineRule="auto" w:line="240" w:before="456" w:after="456"/>
        <w:ind w:hanging="0"/>
        <w:jc w:val="start"/>
        <w:rPr/>
      </w:pPr>
      <w:r>
        <w:rPr/>
        <w:t xml:space="preserve">2. </w:t>
      </w:r>
      <w:r>
        <w:rPr/>
        <w:t>plan a path using A*,</w:t>
      </w:r>
    </w:p>
    <w:p>
      <w:pPr>
        <w:pStyle w:val="Normal"/>
        <w:spacing w:lineRule="auto" w:line="240" w:before="456" w:after="456"/>
        <w:ind w:hanging="0"/>
        <w:jc w:val="start"/>
        <w:rPr/>
      </w:pPr>
      <w:r>
        <w:rPr/>
        <w:t xml:space="preserve">3. </w:t>
      </w:r>
      <w:r>
        <w:rPr/>
        <w:t>move one grid cell,</w:t>
      </w:r>
    </w:p>
    <w:p>
      <w:pPr>
        <w:pStyle w:val="Normal"/>
        <w:spacing w:lineRule="auto" w:line="240" w:before="456" w:after="456"/>
        <w:ind w:hanging="0"/>
        <w:jc w:val="start"/>
        <w:rPr/>
      </w:pPr>
      <w:r>
        <w:rPr/>
        <w:t xml:space="preserve">4. </w:t>
      </w:r>
      <w:r>
        <w:rPr/>
        <w:t>ignite the obstacle when adjacent.</w:t>
      </w:r>
    </w:p>
    <w:p>
      <w:pPr>
        <w:pStyle w:val="Normal"/>
        <w:ind w:hanging="0"/>
        <w:jc w:val="start"/>
        <w:rPr/>
      </w:pPr>
      <w:r>
        <w:rPr/>
        <w:t>Each successful ignition awards the Wumpus + 1 point, and every obstacle that fully burns awards an additional + 1 point. The Wumpus planning time is recorded as t_wumpus_total per run for computational benchmarking.</w:t>
      </w:r>
    </w:p>
    <w:p>
      <w:pPr>
        <w:pStyle w:val="Normal"/>
        <w:ind w:hanging="0"/>
        <w:jc w:val="start"/>
        <w:rPr/>
      </w:pPr>
      <w:r>
        <w:rPr/>
      </w:r>
    </w:p>
    <w:p>
      <w:pPr>
        <w:pStyle w:val="Normal"/>
        <w:ind w:hanging="0"/>
        <w:jc w:val="start"/>
        <w:rPr/>
      </w:pPr>
      <w:r>
        <w:rPr/>
        <w:t>Figure 1 (to be inserted) shows the A* path-expansion process on the obstacle grid.</w:t>
      </w:r>
    </w:p>
    <w:p>
      <w:pPr>
        <w:pStyle w:val="Normal"/>
        <w:ind w:hanging="0"/>
        <w:jc w:val="start"/>
        <w:rPr/>
      </w:pPr>
      <w:r>
        <w:rPr/>
      </w:r>
    </w:p>
    <w:p>
      <w:pPr>
        <w:pStyle w:val="Heading1"/>
        <w:ind w:hanging="0"/>
        <w:jc w:val="center"/>
        <w:rPr/>
      </w:pPr>
      <w:r>
        <w:rPr/>
        <w:t>SAMPLING-BASED PLANNER – FIRETRUCK (PRM)</w:t>
      </w:r>
    </w:p>
    <w:p>
      <w:pPr>
        <w:pStyle w:val="Normal"/>
        <w:ind w:hanging="0"/>
        <w:jc w:val="center"/>
        <w:rPr/>
      </w:pPr>
      <w:r>
        <w:rPr/>
      </w:r>
    </w:p>
    <w:p>
      <w:pPr>
        <w:pStyle w:val="TextBody"/>
        <w:ind w:hanging="0"/>
        <w:jc w:val="start"/>
        <w:rPr/>
      </w:pPr>
      <w:r>
        <w:rPr/>
        <w:t xml:space="preserve">The Firetruck agent is modeled as a car-like robot with Ackermann steering, 4.9 m length, 3 m wheelbase, and a minimum turning radius of 13 m. A PRM planner implemented in </w:t>
      </w:r>
      <w:r>
        <w:rPr>
          <w:rStyle w:val="SourceText"/>
        </w:rPr>
        <w:t>plan/prm.py</w:t>
      </w:r>
      <w:r>
        <w:rPr/>
        <w:t xml:space="preserve"> constructs a roadmap of collision-free configurations prior to simulation start. Each roadmap node connects to its </w:t>
      </w:r>
      <w:r>
        <w:rPr>
          <w:rStyle w:val="Emphasis"/>
        </w:rPr>
        <w:t>k</w:t>
      </w:r>
      <w:r>
        <w:rPr/>
        <w:t xml:space="preserve"> nearest neighbors by feasible local trajectories obeying turning-radius constraints. During execution, the Firetruck queries the roadmap to plan a path to the most critical burning obstacle and then follows it using a local kinematic controller.</w:t>
      </w:r>
    </w:p>
    <w:p>
      <w:pPr>
        <w:pStyle w:val="TextBody"/>
        <w:rPr/>
      </w:pPr>
      <w:r>
        <w:rPr/>
        <w:t xml:space="preserve">If the truck remains within 10 m of a burning obstacle for ≥ 5 s, the fire is marked </w:t>
      </w:r>
      <w:r>
        <w:rPr>
          <w:rStyle w:val="Emphasis"/>
        </w:rPr>
        <w:t>extinguished</w:t>
      </w:r>
      <w:r>
        <w:rPr/>
        <w:t xml:space="preserve">, granting + 2 points. PRM build time and total query time are logged as </w:t>
      </w:r>
      <w:r>
        <w:rPr>
          <w:rStyle w:val="SourceText"/>
        </w:rPr>
        <w:t>t_prm_build</w:t>
      </w:r>
      <w:r>
        <w:rPr/>
        <w:t xml:space="preserve"> and </w:t>
      </w:r>
      <w:r>
        <w:rPr>
          <w:rStyle w:val="SourceText"/>
        </w:rPr>
        <w:t>t_prm_query_total</w:t>
      </w:r>
      <w:r>
        <w:rPr/>
        <w:t xml:space="preserve"> respectively.</w:t>
      </w:r>
    </w:p>
    <w:p>
      <w:pPr>
        <w:pStyle w:val="Heading1"/>
        <w:ind w:hanging="0"/>
        <w:rPr/>
      </w:pPr>
      <w:r>
        <w:rPr/>
        <w:t>Results</w:t>
      </w:r>
    </w:p>
    <w:p>
      <w:pPr>
        <w:pStyle w:val="Normal"/>
        <w:ind w:hanging="0"/>
        <w:jc w:val="start"/>
        <w:rPr/>
      </w:pPr>
      <w:r>
        <w:rPr>
          <w:rStyle w:val="Emphasis"/>
        </w:rPr>
        <w:t>able I</w:t>
      </w:r>
      <w:r>
        <w:rPr/>
        <w:t xml:space="preserve"> summarizes the scores from the five simulation runs (seed 1000–1004). The Wumpus achieves an average of </w:t>
      </w:r>
      <w:r>
        <w:rPr>
          <w:rStyle w:val="StrongEmphasis"/>
        </w:rPr>
        <w:t>484 ± 3</w:t>
      </w:r>
      <w:r>
        <w:rPr/>
        <w:t xml:space="preserve"> points, while the Firetruck scores </w:t>
      </w:r>
      <w:r>
        <w:rPr>
          <w:rStyle w:val="StrongEmphasis"/>
        </w:rPr>
        <w:t>32 ± 7</w:t>
      </w:r>
      <w:r>
        <w:rPr/>
        <w:t>, showing consistent competition across seeds.</w:t>
      </w:r>
    </w:p>
    <w:p>
      <w:pPr>
        <w:pStyle w:val="Normal"/>
        <w:ind w:hanging="0"/>
        <w:jc w:val="start"/>
        <w:rPr/>
      </w:pPr>
      <w:r>
        <w:rPr/>
      </w:r>
    </w:p>
    <w:tbl>
      <w:tblPr>
        <w:tblW w:w="5130" w:type="dxa"/>
        <w:jc w:val="start"/>
        <w:tblInd w:w="-5" w:type="dxa"/>
        <w:tblLayout w:type="fixed"/>
        <w:tblCellMar>
          <w:top w:w="55" w:type="dxa"/>
          <w:start w:w="55" w:type="dxa"/>
          <w:bottom w:w="55" w:type="dxa"/>
          <w:end w:w="55" w:type="dxa"/>
        </w:tblCellMar>
      </w:tblPr>
      <w:tblGrid>
        <w:gridCol w:w="810"/>
        <w:gridCol w:w="2070"/>
        <w:gridCol w:w="2250"/>
      </w:tblGrid>
      <w:tr>
        <w:trPr/>
        <w:tc>
          <w:tcPr>
            <w:tcW w:w="810" w:type="dxa"/>
            <w:tcBorders>
              <w:top w:val="single" w:sz="4" w:space="0" w:color="000000"/>
              <w:start w:val="single" w:sz="4" w:space="0" w:color="000000"/>
              <w:bottom w:val="single" w:sz="4" w:space="0" w:color="000000"/>
            </w:tcBorders>
          </w:tcPr>
          <w:p>
            <w:pPr>
              <w:pStyle w:val="TableContents"/>
              <w:rPr/>
            </w:pPr>
            <w:r>
              <w:rPr/>
              <w:t>Run</w:t>
            </w:r>
          </w:p>
        </w:tc>
        <w:tc>
          <w:tcPr>
            <w:tcW w:w="2070" w:type="dxa"/>
            <w:tcBorders>
              <w:top w:val="single" w:sz="4" w:space="0" w:color="000000"/>
              <w:start w:val="single" w:sz="4" w:space="0" w:color="000000"/>
              <w:bottom w:val="single" w:sz="4" w:space="0" w:color="000000"/>
            </w:tcBorders>
          </w:tcPr>
          <w:p>
            <w:pPr>
              <w:pStyle w:val="TableContents"/>
              <w:rPr/>
            </w:pPr>
            <w:r>
              <w:rPr/>
              <w:t>Wumpus Ignite + Burn</w:t>
            </w:r>
          </w:p>
        </w:tc>
        <w:tc>
          <w:tcPr>
            <w:tcW w:w="2250" w:type="dxa"/>
            <w:tcBorders>
              <w:top w:val="single" w:sz="4" w:space="0" w:color="000000"/>
              <w:start w:val="single" w:sz="4" w:space="0" w:color="000000"/>
              <w:bottom w:val="single" w:sz="4" w:space="0" w:color="000000"/>
              <w:end w:val="single" w:sz="4" w:space="0" w:color="000000"/>
            </w:tcBorders>
          </w:tcPr>
          <w:p>
            <w:pPr>
              <w:pStyle w:val="TableContents"/>
              <w:rPr/>
            </w:pPr>
            <w:r>
              <w:rPr/>
              <w:t>Firetruck Extinguish × 2</w:t>
            </w:r>
          </w:p>
        </w:tc>
      </w:tr>
      <w:tr>
        <w:trPr/>
        <w:tc>
          <w:tcPr>
            <w:tcW w:w="810" w:type="dxa"/>
            <w:tcBorders>
              <w:start w:val="single" w:sz="4" w:space="0" w:color="000000"/>
              <w:bottom w:val="single" w:sz="4" w:space="0" w:color="000000"/>
            </w:tcBorders>
          </w:tcPr>
          <w:p>
            <w:pPr>
              <w:pStyle w:val="TableContents"/>
              <w:rPr/>
            </w:pPr>
            <w:r>
              <w:rPr/>
              <w:t>1000</w:t>
            </w:r>
          </w:p>
        </w:tc>
        <w:tc>
          <w:tcPr>
            <w:tcW w:w="2070" w:type="dxa"/>
            <w:tcBorders>
              <w:start w:val="single" w:sz="4" w:space="0" w:color="000000"/>
              <w:bottom w:val="single" w:sz="4" w:space="0" w:color="000000"/>
            </w:tcBorders>
          </w:tcPr>
          <w:p>
            <w:pPr>
              <w:pStyle w:val="TableContents"/>
              <w:rPr/>
            </w:pPr>
            <w:r>
              <w:rPr/>
              <w:t>250 + 233 = 483</w:t>
            </w:r>
          </w:p>
        </w:tc>
        <w:tc>
          <w:tcPr>
            <w:tcW w:w="2250" w:type="dxa"/>
            <w:tcBorders>
              <w:start w:val="single" w:sz="4" w:space="0" w:color="000000"/>
              <w:bottom w:val="single" w:sz="4" w:space="0" w:color="000000"/>
              <w:end w:val="single" w:sz="4" w:space="0" w:color="000000"/>
            </w:tcBorders>
          </w:tcPr>
          <w:p>
            <w:pPr>
              <w:pStyle w:val="TableContents"/>
              <w:rPr/>
            </w:pPr>
            <w:r>
              <w:rPr/>
              <w:t>34</w:t>
            </w:r>
          </w:p>
        </w:tc>
      </w:tr>
      <w:tr>
        <w:trPr/>
        <w:tc>
          <w:tcPr>
            <w:tcW w:w="810" w:type="dxa"/>
            <w:tcBorders>
              <w:start w:val="single" w:sz="4" w:space="0" w:color="000000"/>
              <w:bottom w:val="single" w:sz="4" w:space="0" w:color="000000"/>
            </w:tcBorders>
          </w:tcPr>
          <w:p>
            <w:pPr>
              <w:pStyle w:val="TableContents"/>
              <w:rPr/>
            </w:pPr>
            <w:r>
              <w:rPr/>
              <w:t>1001</w:t>
            </w:r>
          </w:p>
        </w:tc>
        <w:tc>
          <w:tcPr>
            <w:tcW w:w="2070" w:type="dxa"/>
            <w:tcBorders>
              <w:start w:val="single" w:sz="4" w:space="0" w:color="000000"/>
              <w:bottom w:val="single" w:sz="4" w:space="0" w:color="000000"/>
            </w:tcBorders>
          </w:tcPr>
          <w:p>
            <w:pPr>
              <w:pStyle w:val="TableContents"/>
              <w:rPr/>
            </w:pPr>
            <w:r>
              <w:rPr/>
              <w:t>250 + 231 = 481</w:t>
            </w:r>
          </w:p>
        </w:tc>
        <w:tc>
          <w:tcPr>
            <w:tcW w:w="2250" w:type="dxa"/>
            <w:tcBorders>
              <w:start w:val="single" w:sz="4" w:space="0" w:color="000000"/>
              <w:bottom w:val="single" w:sz="4" w:space="0" w:color="000000"/>
              <w:end w:val="single" w:sz="4" w:space="0" w:color="000000"/>
            </w:tcBorders>
          </w:tcPr>
          <w:p>
            <w:pPr>
              <w:pStyle w:val="TableContents"/>
              <w:rPr/>
            </w:pPr>
            <w:r>
              <w:rPr/>
              <w:t>38</w:t>
            </w:r>
          </w:p>
        </w:tc>
      </w:tr>
      <w:tr>
        <w:trPr/>
        <w:tc>
          <w:tcPr>
            <w:tcW w:w="810" w:type="dxa"/>
            <w:tcBorders>
              <w:start w:val="single" w:sz="4" w:space="0" w:color="000000"/>
              <w:bottom w:val="single" w:sz="4" w:space="0" w:color="000000"/>
            </w:tcBorders>
          </w:tcPr>
          <w:p>
            <w:pPr>
              <w:pStyle w:val="TableContents"/>
              <w:rPr/>
            </w:pPr>
            <w:r>
              <w:rPr/>
              <w:t>1002</w:t>
            </w:r>
          </w:p>
        </w:tc>
        <w:tc>
          <w:tcPr>
            <w:tcW w:w="2070" w:type="dxa"/>
            <w:tcBorders>
              <w:start w:val="single" w:sz="4" w:space="0" w:color="000000"/>
              <w:bottom w:val="single" w:sz="4" w:space="0" w:color="000000"/>
            </w:tcBorders>
          </w:tcPr>
          <w:p>
            <w:pPr>
              <w:pStyle w:val="TableContents"/>
              <w:rPr/>
            </w:pPr>
            <w:r>
              <w:rPr/>
              <w:t xml:space="preserve">250 + 232 = 482 </w:t>
            </w:r>
          </w:p>
        </w:tc>
        <w:tc>
          <w:tcPr>
            <w:tcW w:w="2250" w:type="dxa"/>
            <w:tcBorders>
              <w:start w:val="single" w:sz="4" w:space="0" w:color="000000"/>
              <w:bottom w:val="single" w:sz="4" w:space="0" w:color="000000"/>
              <w:end w:val="single" w:sz="4" w:space="0" w:color="000000"/>
            </w:tcBorders>
          </w:tcPr>
          <w:p>
            <w:pPr>
              <w:pStyle w:val="TableContents"/>
              <w:rPr/>
            </w:pPr>
            <w:r>
              <w:rPr/>
              <w:t>36</w:t>
            </w:r>
          </w:p>
        </w:tc>
      </w:tr>
      <w:tr>
        <w:trPr/>
        <w:tc>
          <w:tcPr>
            <w:tcW w:w="810" w:type="dxa"/>
            <w:tcBorders>
              <w:start w:val="single" w:sz="4" w:space="0" w:color="000000"/>
              <w:bottom w:val="single" w:sz="4" w:space="0" w:color="000000"/>
            </w:tcBorders>
          </w:tcPr>
          <w:p>
            <w:pPr>
              <w:pStyle w:val="TableContents"/>
              <w:rPr/>
            </w:pPr>
            <w:r>
              <w:rPr/>
              <w:t>1003</w:t>
            </w:r>
          </w:p>
        </w:tc>
        <w:tc>
          <w:tcPr>
            <w:tcW w:w="2070" w:type="dxa"/>
            <w:tcBorders>
              <w:start w:val="single" w:sz="4" w:space="0" w:color="000000"/>
              <w:bottom w:val="single" w:sz="4" w:space="0" w:color="000000"/>
            </w:tcBorders>
          </w:tcPr>
          <w:p>
            <w:pPr>
              <w:pStyle w:val="TableContents"/>
              <w:rPr/>
            </w:pPr>
            <w:r>
              <w:rPr/>
              <w:t xml:space="preserve">250 + 233 = 483 </w:t>
            </w:r>
          </w:p>
        </w:tc>
        <w:tc>
          <w:tcPr>
            <w:tcW w:w="2250" w:type="dxa"/>
            <w:tcBorders>
              <w:start w:val="single" w:sz="4" w:space="0" w:color="000000"/>
              <w:bottom w:val="single" w:sz="4" w:space="0" w:color="000000"/>
              <w:end w:val="single" w:sz="4" w:space="0" w:color="000000"/>
            </w:tcBorders>
          </w:tcPr>
          <w:p>
            <w:pPr>
              <w:pStyle w:val="TableContents"/>
              <w:rPr/>
            </w:pPr>
            <w:r>
              <w:rPr/>
              <w:t>34</w:t>
            </w:r>
          </w:p>
        </w:tc>
      </w:tr>
      <w:tr>
        <w:trPr/>
        <w:tc>
          <w:tcPr>
            <w:tcW w:w="810" w:type="dxa"/>
            <w:tcBorders>
              <w:start w:val="single" w:sz="4" w:space="0" w:color="000000"/>
              <w:bottom w:val="single" w:sz="4" w:space="0" w:color="000000"/>
            </w:tcBorders>
          </w:tcPr>
          <w:p>
            <w:pPr>
              <w:pStyle w:val="TableContents"/>
              <w:rPr/>
            </w:pPr>
            <w:r>
              <w:rPr/>
              <w:t>1004</w:t>
            </w:r>
          </w:p>
        </w:tc>
        <w:tc>
          <w:tcPr>
            <w:tcW w:w="2070" w:type="dxa"/>
            <w:tcBorders>
              <w:start w:val="single" w:sz="4" w:space="0" w:color="000000"/>
              <w:bottom w:val="single" w:sz="4" w:space="0" w:color="000000"/>
            </w:tcBorders>
          </w:tcPr>
          <w:p>
            <w:pPr>
              <w:pStyle w:val="TableContents"/>
              <w:rPr/>
            </w:pPr>
            <w:r>
              <w:rPr/>
              <w:t xml:space="preserve">250 + 240 = 490 </w:t>
            </w:r>
          </w:p>
        </w:tc>
        <w:tc>
          <w:tcPr>
            <w:tcW w:w="2250" w:type="dxa"/>
            <w:tcBorders>
              <w:start w:val="single" w:sz="4" w:space="0" w:color="000000"/>
              <w:bottom w:val="single" w:sz="4" w:space="0" w:color="000000"/>
              <w:end w:val="single" w:sz="4" w:space="0" w:color="000000"/>
            </w:tcBorders>
          </w:tcPr>
          <w:p>
            <w:pPr>
              <w:pStyle w:val="TableContents"/>
              <w:rPr/>
            </w:pPr>
            <w:r>
              <w:rPr/>
              <w:t>20</w:t>
            </w:r>
          </w:p>
        </w:tc>
      </w:tr>
    </w:tbl>
    <w:p>
      <w:pPr>
        <w:pStyle w:val="Normal"/>
        <w:ind w:hanging="0"/>
        <w:jc w:val="start"/>
        <w:rPr/>
      </w:pPr>
      <w:r>
        <w:rPr/>
      </w:r>
    </w:p>
    <w:p>
      <w:pPr>
        <w:pStyle w:val="TextBody"/>
        <w:ind w:hanging="0"/>
        <w:jc w:val="start"/>
        <w:rPr/>
      </w:pPr>
      <w:r>
        <w:rPr>
          <w:rStyle w:val="Emphasis"/>
        </w:rPr>
        <w:t>Figure 2</w:t>
      </w:r>
      <w:r>
        <w:rPr/>
        <w:t xml:space="preserve"> displays the computation-time bar chart generated from </w:t>
      </w:r>
      <w:r>
        <w:rPr>
          <w:rStyle w:val="SourceText"/>
        </w:rPr>
        <w:t>compute_times.csv</w:t>
      </w:r>
      <w:r>
        <w:rPr/>
        <w:t>. The A* planner required negligible CPU time (&lt; 0.3 s total), while PRM roadmap construction and query phases accounted for the majority of computational cost, approximately an order of magnitude higher.</w:t>
      </w:r>
    </w:p>
    <w:p>
      <w:pPr>
        <w:pStyle w:val="TextBody"/>
        <w:rPr/>
      </w:pPr>
      <w:r>
        <w:rPr/>
        <w:t>Five representative animations (</w:t>
      </w:r>
      <w:r>
        <w:rPr>
          <w:rStyle w:val="Emphasis"/>
        </w:rPr>
        <w:t>wildfire_run</w:t>
      </w:r>
      <w:r>
        <w:rPr/>
        <w:t xml:space="preserve">***.gif*, </w:t>
      </w:r>
      <w:r>
        <w:rPr>
          <w:rStyle w:val="Emphasis"/>
        </w:rPr>
        <w:t>wumpus_excerpt</w:t>
      </w:r>
      <w:r>
        <w:rPr/>
        <w:t xml:space="preserve">***.gif*, </w:t>
      </w:r>
      <w:r>
        <w:rPr>
          <w:rStyle w:val="Emphasis"/>
        </w:rPr>
        <w:t>truck_excerpt</w:t>
      </w:r>
      <w:r>
        <w:rPr/>
        <w:t>***.gif*) visualize ignition and suppression patterns over time.</w:t>
      </w:r>
    </w:p>
    <w:p>
      <w:pPr>
        <w:pStyle w:val="Heading1"/>
        <w:ind w:hanging="0"/>
        <w:jc w:val="center"/>
        <w:rPr/>
      </w:pPr>
      <w:r>
        <w:rPr/>
        <w:t>Discussion</w:t>
      </w:r>
    </w:p>
    <w:p>
      <w:pPr>
        <w:pStyle w:val="TextBody"/>
        <w:ind w:hanging="0"/>
        <w:jc w:val="start"/>
        <w:rPr/>
      </w:pPr>
      <w:r>
        <w:rPr/>
        <w:t>The experiments confirm expected distinctions between the two planning paradigms. The A*-based Wumpus excels at short-horizon reactive navigation, efficiently lighting nearby obstacles with minimal computation. The PRM-based Firetruck, while more computationally expensive, produces smoother and dynamically feasible paths across the field. Because the roadmap is computed a priori, PRM excels in sparse or static settings but incurs overhead for global coverage.</w:t>
      </w:r>
    </w:p>
    <w:p>
      <w:pPr>
        <w:pStyle w:val="TextBody"/>
        <w:rPr/>
      </w:pPr>
      <w:r>
        <w:rPr/>
        <w:t>Considering total score per computation second, the Wumpus (A*) demonstrates higher efficiency, while the Firetruck (PRM) provides motion realism and scalability to continuous configuration spaces. Integrating dynamic re-planning or hybrid A*-PRM strategies could balance these advantages in future work.</w:t>
      </w:r>
    </w:p>
    <w:p>
      <w:pPr>
        <w:pStyle w:val="Sponsors"/>
        <w:pBdr>
          <w:top w:val="nil"/>
        </w:pBdr>
        <w:ind w:firstLine="289"/>
        <w:rPr>
          <w:iCs/>
        </w:rPr>
        <w:framePr w:w="312" w:h="274" w:x="868" w:y="14401" w:hSpace="0" w:vSpace="0" w:wrap="auto" w:vAnchor="page" w:hAnchor="page" w:hRule="exact"/>
        <w:pBdr>
          <w:top w:val="single" w:sz="4" w:space="2" w:color="000000"/>
        </w:pBdr>
      </w:pPr>
      <w:r>
        <w:rPr/>
      </w:r>
    </w:p>
    <w:p>
      <w:pPr>
        <w:pStyle w:val="Heading1"/>
        <w:ind w:hanging="0"/>
        <w:rPr/>
      </w:pPr>
      <w:r>
        <w:rPr/>
        <w:t>Conclusion</w:t>
      </w:r>
    </w:p>
    <w:p>
      <w:pPr>
        <w:pStyle w:val="Normal"/>
        <w:ind w:hanging="0"/>
        <w:jc w:val="start"/>
        <w:rPr/>
      </w:pPr>
      <w:r>
        <w:rPr/>
        <w:t>This study successfully implemented and compared discrete and sampling-based motion-planning algorithms in a unified wildfire-response simulation. Results across five randomized runs confirm the trade-off between planning efficiency and trajectory smoothness. The A* approach offers rapid, grid-based responsiveness, whereas the PRM yields continuous, physically feasible paths at greater computational cost. These findings highlight the complementary strengths of the two planners and demonstrate their suitability for different operational objectives in dynamic environments.</w:t>
      </w:r>
    </w:p>
    <w:p>
      <w:pPr>
        <w:pStyle w:val="TextBody"/>
        <w:rPr>
          <w:lang w:val="en-US"/>
        </w:rPr>
      </w:pPr>
      <w:r>
        <w:rPr/>
      </w:r>
    </w:p>
    <w:p>
      <w:pPr>
        <w:pStyle w:val="Heading5"/>
        <w:rPr/>
      </w:pPr>
      <w:r>
        <w:rPr/>
        <w:t>References</w:t>
      </w:r>
    </w:p>
    <w:p>
      <w:pPr>
        <w:pStyle w:val="References"/>
        <w:numPr>
          <w:ilvl w:val="0"/>
          <w:numId w:val="5"/>
        </w:numPr>
        <w:ind w:start="354" w:hanging="354"/>
        <w:rPr/>
      </w:pPr>
      <w:r>
        <w:rPr/>
        <w:t xml:space="preserve">G. Eason, B. Noble, and I. N. Sneddon, “On certain integrals of Lipschitz-Hankel type involving products of Bessel functions,” Phil. Trans. Roy. Soc. London, vol. A247, pp. 529–551, April 1955. </w:t>
      </w:r>
      <w:r>
        <w:rPr>
          <w:i/>
          <w:iCs/>
        </w:rPr>
        <w:t>(references)</w:t>
      </w:r>
    </w:p>
    <w:p>
      <w:pPr>
        <w:pStyle w:val="References"/>
        <w:numPr>
          <w:ilvl w:val="0"/>
          <w:numId w:val="5"/>
        </w:numPr>
        <w:ind w:start="354" w:hanging="354"/>
        <w:rPr/>
      </w:pPr>
      <w:r>
        <w:rPr/>
        <w:t>J. Clerk Maxwell, A Treatise on Electricity and Magnetism, 3rd ed., vol. 2. Oxford: Clarendon, 1892, pp.68–73.</w:t>
      </w:r>
    </w:p>
    <w:p>
      <w:pPr>
        <w:pStyle w:val="References"/>
        <w:numPr>
          <w:ilvl w:val="0"/>
          <w:numId w:val="5"/>
        </w:numPr>
        <w:ind w:start="354" w:hanging="354"/>
        <w:rPr/>
      </w:pPr>
      <w:r>
        <w:rPr/>
        <w:t>I. S. Jacobs and C. P. Bean, “Fine particles, thin films and exchange anisotropy,” in Magnetism, vol. III, G. T. Rado and H. Suhl, Eds. New York: Academic, 1963, pp. 271–350.</w:t>
      </w:r>
    </w:p>
    <w:p>
      <w:pPr>
        <w:pStyle w:val="References"/>
        <w:numPr>
          <w:ilvl w:val="0"/>
          <w:numId w:val="5"/>
        </w:numPr>
        <w:ind w:start="354" w:hanging="354"/>
        <w:rPr/>
      </w:pPr>
      <w:r>
        <w:rPr/>
        <w:t>K. Elissa, “Title of paper if known,” unpublished.</w:t>
      </w:r>
    </w:p>
    <w:p>
      <w:pPr>
        <w:pStyle w:val="References"/>
        <w:numPr>
          <w:ilvl w:val="0"/>
          <w:numId w:val="5"/>
        </w:numPr>
        <w:ind w:start="354" w:hanging="354"/>
        <w:rPr/>
      </w:pPr>
      <w:r>
        <w:rPr/>
        <w:t>R. Nicole, “Title of paper with only first word capitalized,” J. Name Stand. Abbrev., in press.</w:t>
      </w:r>
    </w:p>
    <w:p>
      <w:pPr>
        <w:pStyle w:val="References"/>
        <w:numPr>
          <w:ilvl w:val="0"/>
          <w:numId w:val="5"/>
        </w:numPr>
        <w:ind w:start="354" w:hanging="354"/>
        <w:rPr/>
      </w:pPr>
      <w:r>
        <w:rPr/>
        <w:t>Y. Yorozu, M. Hirano, K. Oka, and Y. Tagawa, “Electron spectroscopy studies on magneto-optical media and plastic substrate interface,” IEEE Transl. J. Magn. Japan, vol. 2, pp. 740–741, August 1987 [Digests 9th Annual Conf. Magnetics Japan, p. 301, 1982].</w:t>
      </w:r>
    </w:p>
    <w:p>
      <w:pPr>
        <w:pStyle w:val="References"/>
        <w:numPr>
          <w:ilvl w:val="0"/>
          <w:numId w:val="5"/>
        </w:numPr>
        <w:ind w:start="354" w:hanging="354"/>
        <w:rPr/>
      </w:pPr>
      <w:r>
        <w:rPr/>
        <w:t>M. Young, The Technical Writer’s Handbook. Mill Valley, CA: University Science, 1989.</w:t>
      </w:r>
    </w:p>
    <w:p>
      <w:pPr>
        <w:pStyle w:val="References"/>
        <w:numPr>
          <w:ilvl w:val="0"/>
          <w:numId w:val="5"/>
        </w:numPr>
        <w:ind w:start="354" w:hanging="354"/>
        <w:rPr>
          <w:rFonts w:ascii="NimbusRomNo9L-Regu" w:hAnsi="NimbusRomNo9L-Regu" w:eastAsia="NimbusRomNo9L-Regu" w:cs="NimbusRomNo9L-Regu"/>
        </w:rPr>
      </w:pPr>
      <w:r>
        <w:rPr>
          <w:rFonts w:eastAsia="NimbusRomNo9L-Regu" w:cs="NimbusRomNo9L-Regu" w:ascii="NimbusRomNo9L-Regu" w:hAnsi="NimbusRomNo9L-Regu"/>
        </w:rPr>
        <w:t xml:space="preserve"> </w:t>
      </w:r>
      <w:r>
        <w:rPr/>
        <w:t xml:space="preserve">K. Eves and J. Valasek, “Adaptive control for singularly perturbed systems examples,” Code Ocean, Aug. 2023. [Online]. Available: </w:t>
      </w:r>
      <w:hyperlink r:id="rId3">
        <w:r>
          <w:rPr/>
          <w:t>https://codeocean.com/capsule/4989235/tree</w:t>
        </w:r>
      </w:hyperlink>
      <w:r>
        <w:rPr/>
        <w:t xml:space="preserve"> </w:t>
      </w:r>
    </w:p>
    <w:p>
      <w:pPr>
        <w:pStyle w:val="References"/>
        <w:numPr>
          <w:ilvl w:val="0"/>
          <w:numId w:val="5"/>
        </w:numPr>
        <w:ind w:start="354" w:hanging="354"/>
        <w:jc w:val="start"/>
        <w:rPr/>
      </w:pPr>
      <w:r>
        <w:rPr/>
        <w:t xml:space="preserve">D. P. Kingma and M. Welling, “Auto-encoding variational Bayes,” 2013, arXiv:1312.6114. [Online]. Available: </w:t>
      </w:r>
      <w:hyperlink r:id="rId4">
        <w:r>
          <w:rPr/>
          <w:t>https://arxiv.org/abs/1312.6114</w:t>
        </w:r>
      </w:hyperlink>
    </w:p>
    <w:p>
      <w:pPr>
        <w:pStyle w:val="References"/>
        <w:numPr>
          <w:ilvl w:val="0"/>
          <w:numId w:val="5"/>
        </w:numPr>
        <w:ind w:start="354" w:hanging="354"/>
        <w:jc w:val="start"/>
        <w:rPr/>
      </w:pPr>
      <w:r>
        <w:rPr/>
        <w:t xml:space="preserve">S. Liu, “Wi-Fi Energy Detection Testbed (12MTC),” 2023, gitHub repository. [Online]. Available: https://github.com/liustone99/Wi-Fi-Energy-Detection-Testbed-12MTC </w:t>
      </w:r>
    </w:p>
    <w:p>
      <w:pPr>
        <w:pStyle w:val="References"/>
        <w:numPr>
          <w:ilvl w:val="0"/>
          <w:numId w:val="5"/>
        </w:numPr>
        <w:ind w:start="354" w:hanging="354"/>
        <w:jc w:val="start"/>
        <w:rPr/>
      </w:pPr>
      <w:r>
        <w:rPr/>
        <w:t>“</w:t>
      </w:r>
      <w:r>
        <w:rPr/>
        <w:t>Treatment episode data set: discharges (TEDS-D): concatenated, 2006 to 2009.” U.S. Department of Health and Human Services, Substance Abuse and Mental Health Services Administration, Office of Applied Studies, August, 2013, DOI:10.3886/ICPSR30122.v2</w:t>
      </w:r>
    </w:p>
    <w:p>
      <w:pPr>
        <w:pStyle w:val="References"/>
        <w:numPr>
          <w:ilvl w:val="0"/>
          <w:numId w:val="0"/>
        </w:numPr>
        <w:ind w:start="360" w:hanging="360"/>
        <w:jc w:val="center"/>
        <w:rPr>
          <w:rFonts w:eastAsia="SimSun"/>
          <w:b/>
          <w:b/>
          <w:color w:val="FF0000"/>
          <w:spacing w:val="-1"/>
          <w:sz w:val="20"/>
          <w:szCs w:val="20"/>
          <w:lang w:val="x-none" w:eastAsia="x-none"/>
        </w:rPr>
      </w:pPr>
      <w:r>
        <w:rPr/>
      </w:r>
    </w:p>
    <w:p>
      <w:pPr>
        <w:sectPr>
          <w:type w:val="continuous"/>
          <w:pgSz w:w="12240" w:h="15840"/>
          <w:pgMar w:left="893" w:right="893" w:gutter="0" w:header="0" w:top="1080" w:footer="720" w:bottom="1440"/>
          <w:cols w:num="2" w:space="360" w:equalWidth="true" w:sep="false"/>
          <w:formProt w:val="false"/>
          <w:textDirection w:val="lrTb"/>
          <w:docGrid w:type="default" w:linePitch="360" w:charSpace="8192"/>
        </w:sectPr>
      </w:pPr>
    </w:p>
    <w:p>
      <w:pPr>
        <w:pStyle w:val="Normal"/>
        <w:rPr>
          <w:color w:val="FF0000"/>
        </w:rPr>
      </w:pPr>
      <w:r>
        <w:rPr/>
      </w:r>
    </w:p>
    <w:sectPr>
      <w:type w:val="continuous"/>
      <w:pgSz w:w="12240" w:h="15840"/>
      <w:pgMar w:left="893" w:right="893" w:gutter="0" w:header="0" w:top="1080" w:footer="0" w:bottom="1440"/>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Mono">
    <w:altName w:val="Courier New"/>
    <w:charset w:val="01" w:characterSet="utf-8"/>
    <w:family w:val="modern"/>
    <w:pitch w:val="fixed"/>
  </w:font>
  <w:font w:name="Liberation Sans">
    <w:altName w:val="Arial"/>
    <w:charset w:val="01" w:characterSet="utf-8"/>
    <w:family w:val="swiss"/>
    <w:pitch w:val="variable"/>
  </w:font>
  <w:font w:name="Symbol">
    <w:charset w:val="01" w:characterSet="utf-8"/>
    <w:family w:val="roman"/>
    <w:pitch w:val="variable"/>
  </w:font>
  <w:font w:name="NimbusRomNo9L-Regu">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sz w:val="16"/>
        <w:szCs w:val="16"/>
      </w:rPr>
    </w:pPr>
    <w:r>
      <w:rPr>
        <w:sz w:val="16"/>
        <w:szCs w:val="16"/>
      </w:rPr>
      <w:t>XXX-X-XXXX-XXXX-X/XX/$XX.00 ©20XX IEEE</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star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start"/>
      <w:pPr>
        <w:tabs>
          <w:tab w:val="num" w:pos="360"/>
        </w:tabs>
        <w:ind w:star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start"/>
      <w:pPr>
        <w:tabs>
          <w:tab w:val="num" w:pos="540"/>
        </w:tabs>
        <w:ind w:star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start"/>
      <w:pPr>
        <w:tabs>
          <w:tab w:val="num" w:pos="630"/>
        </w:tabs>
        <w:ind w:start="0" w:firstLine="360"/>
      </w:pPr>
      <w:rPr>
        <w:sz w:val="20"/>
        <w:i/>
        <w:b w:val="false"/>
        <w:szCs w:val="20"/>
        <w:iCs/>
        <w:bCs w:val="false"/>
        <w:rFonts w:ascii="Times New Roman" w:hAnsi="Times New Roman" w:cs="Times New Roman"/>
      </w:rPr>
    </w:lvl>
    <w:lvl w:ilvl="4">
      <w:start w:val="1"/>
      <w:numFmt w:val="none"/>
      <w:suff w:val="nothing"/>
      <w:lvlText w:val=""/>
      <w:lvlJc w:val="start"/>
      <w:pPr>
        <w:tabs>
          <w:tab w:val="num" w:pos="324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bullet"/>
      <w:lvlText w:val=""/>
      <w:lvlJc w:val="start"/>
      <w:pPr>
        <w:tabs>
          <w:tab w:val="num" w:pos="648"/>
        </w:tabs>
        <w:ind w:start="648"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3">
    <w:lvl w:ilvl="0">
      <w:start w:val="1"/>
      <w:numFmt w:val="decimal"/>
      <w:lvlText w:val="Fig. %1."/>
      <w:lvlJc w:val="start"/>
      <w:pPr>
        <w:tabs>
          <w:tab w:val="num" w:pos="0"/>
        </w:tabs>
        <w:ind w:start="360" w:hanging="360"/>
      </w:pPr>
      <w:rPr>
        <w:sz w:val="16"/>
        <w:i w:val="false"/>
        <w:b w:val="false"/>
        <w:szCs w:val="16"/>
        <w:iCs w:val="false"/>
        <w:bCs w:val="false"/>
        <w:rFonts w:ascii="Times New Roman" w:hAnsi="Times New Roman" w:cs="Times New Roman"/>
        <w:color w:val="auto"/>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4">
    <w:lvl w:ilvl="0">
      <w:start w:val="1"/>
      <w:numFmt w:val="decimal"/>
      <w:lvlText w:val="%1 "/>
      <w:lvlJc w:val="start"/>
      <w:pPr>
        <w:tabs>
          <w:tab w:val="num" w:pos="648"/>
        </w:tabs>
        <w:ind w:star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5">
    <w:lvl w:ilvl="0">
      <w:start w:val="1"/>
      <w:numFmt w:val="decimal"/>
      <w:lvlText w:val="[%1]"/>
      <w:lvlJc w:val="start"/>
      <w:pPr>
        <w:tabs>
          <w:tab w:val="num" w:pos="360"/>
        </w:tabs>
        <w:ind w:start="360" w:hanging="360"/>
      </w:pPr>
      <w:rPr>
        <w:sz w:val="16"/>
        <w:i w:val="false"/>
        <w:b w:val="false"/>
        <w:szCs w:val="16"/>
        <w:iCs w:val="false"/>
        <w:bCs w:val="false"/>
        <w:rFonts w:ascii="Times New Roman" w:hAnsi="Times New Roman" w:cs="Times New Roman"/>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upperRoman"/>
      <w:lvlText w:val="TABLE %1. "/>
      <w:lvlJc w:val="start"/>
      <w:pPr>
        <w:tabs>
          <w:tab w:val="num" w:pos="1080"/>
        </w:tabs>
        <w:ind w:start="0" w:hanging="0"/>
      </w:pPr>
      <w:rPr>
        <w:sz w:val="16"/>
        <w:i w:val="false"/>
        <w:b w:val="false"/>
        <w:szCs w:val="16"/>
        <w:iCs w:val="false"/>
        <w:bCs w:val="false"/>
        <w:rFonts w:ascii="Times New Roman" w:hAnsi="Times New Roman" w:cs="Times New Roman"/>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lowerLetter"/>
      <w:lvlText w:val="%1."/>
      <w:lvlJc w:val="end"/>
      <w:pPr>
        <w:tabs>
          <w:tab w:val="num" w:pos="0"/>
        </w:tabs>
        <w:ind w:star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embedSystemFonts/>
  <w:defaultTabStop w:val="720"/>
  <w:autoHyphenation w:val="true"/>
  <w:doNotHyphenateCap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star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character" w:styleId="Internet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qFormat/>
    <w:rsid w:val="00156b74"/>
    <w:rPr>
      <w:color w:val="605E5C"/>
      <w:shd w:fill="E1DFDD" w:val="clear"/>
    </w:rPr>
  </w:style>
  <w:style w:type="character" w:styleId="StrongEmphasis">
    <w:name w:val="Strong Emphasis"/>
    <w:qFormat/>
    <w:rPr>
      <w:b/>
      <w:bCs/>
    </w:rPr>
  </w:style>
  <w:style w:type="character" w:styleId="Emphasis">
    <w:name w:val="Emphasis"/>
    <w:qFormat/>
    <w:rPr>
      <w:i/>
      <w:iCs/>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TextBody"/>
    <w:qFormat/>
    <w:rsid w:val="001b67dc"/>
    <w:pPr>
      <w:numPr>
        <w:ilvl w:val="0"/>
        <w:numId w:val="2"/>
      </w:numPr>
      <w:ind w:start="576" w:hanging="288"/>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start="0" w:hanging="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star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star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start="58" w:hanging="29"/>
      <w:jc w:val="end"/>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hyperlink" Target="https://codeocean.com/capsule/4989235/tree" TargetMode="External"/><Relationship Id="rId4" Type="http://schemas.openxmlformats.org/officeDocument/2006/relationships/hyperlink" Target="https://arxiv.org/abs/1312.6114"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1218</TotalTime>
  <Application>LibreOffice/7.3.7.2$Linux_X86_64 LibreOffice_project/30$Build-2</Application>
  <AppVersion>15.0000</AppVersion>
  <Pages>2</Pages>
  <Words>1236</Words>
  <Characters>7252</Characters>
  <CharactersWithSpaces>8406</CharactersWithSpaces>
  <Paragraphs>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2024-07-16T13:39:00Z</dcterms:created>
  <dc:creator>IEEE</dc:creator>
  <dc:description/>
  <dc:language>en-US</dc:language>
  <cp:lastModifiedBy/>
  <dcterms:modified xsi:type="dcterms:W3CDTF">2025-11-07T19:06:06Z</dcterms:modified>
  <cp:revision>28</cp:revision>
  <dc:subject/>
  <dc:title>Paper Title (use style: paper title)</dc:title>
</cp:coreProperties>
</file>