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Calibri" w:cs="Calibri" w:eastAsia="Calibri" w:hAnsi="Calibri"/>
          <w:b/>
          <w:bCs/>
          <w:color w:val="009fe5"/>
          <w:sz w:val="28"/>
          <w:szCs w:val="28"/>
        </w:rPr>
        <w:t xml:space="preserve">MAHIBERE KIDUSAN NORTH AMERICA</w:t>
      </w:r>
    </w:p>
    <w:p>
      <w:pPr>
        <w:spacing w:after="600" w:before="200"/>
        <w:jc w:val="center"/>
      </w:pPr>
      <w:r>
        <w:rPr>
          <w:rFonts w:ascii="Calibri" w:cs="Calibri" w:eastAsia="Calibri" w:hAnsi="Calibri"/>
          <w:b/>
          <w:bCs/>
          <w:color w:val="0e2a47"/>
          <w:sz w:val="48"/>
          <w:szCs w:val="48"/>
        </w:rPr>
        <w:t xml:space="preserve">ESDROS THEOLOGICAL SEMINARY</w:t>
      </w:r>
    </w:p>
    <w:p>
      <w:pPr>
        <w:spacing w:after="1200" w:before="200"/>
        <w:jc w:val="center"/>
      </w:pPr>
      <w:r>
        <w:rPr>
          <w:rFonts w:ascii="Calibri" w:cs="Calibri" w:eastAsia="Calibri" w:hAnsi="Calibri"/>
          <w:b/>
          <w:bCs/>
          <w:color w:val="334155"/>
          <w:sz w:val="24"/>
          <w:szCs w:val="24"/>
        </w:rPr>
        <w:t xml:space="preserve">Student Information &amp; Learning Management System (SIS-LMS)
Technical Architecture &amp; Maintenance Manual</w:t>
      </w:r>
    </w:p>
    <w:p>
      <w:pPr>
        <w:spacing w:after="200" w:before="2400"/>
        <w:jc w:val="center"/>
      </w:pPr>
      <w:r>
        <w:rPr>
          <w:rFonts w:ascii="Calibri" w:cs="Calibri" w:eastAsia="Calibri" w:hAnsi="Calibri"/>
          <w:color w:val="64748b"/>
          <w:sz w:val="20"/>
          <w:szCs w:val="20"/>
        </w:rPr>
        <w:t xml:space="preserve">Version 1.2 • Published May 2026</w:t>
      </w:r>
    </w:p>
    <w:p>
      <w:pPr>
        <w:spacing w:after="2000" w:before="200"/>
        <w:jc w:val="center"/>
      </w:pPr>
      <w:r>
        <w:rPr>
          <w:rFonts w:ascii="Calibri" w:cs="Calibri" w:eastAsia="Calibri" w:hAnsi="Calibri"/>
          <w:color w:val="64748b"/>
          <w:sz w:val="18"/>
          <w:szCs w:val="18"/>
        </w:rPr>
        <w:t xml:space="preserve">Prepared for: System Administrators, Registrar Office, and System Maintainers</w:t>
      </w:r>
    </w:p>
    <w:p>
      <w:pPr>
        <w:pStyle w:val="Heading1"/>
        <w:spacing w:after="200" w:before="400"/>
      </w:pPr>
      <w:r>
        <w:rPr>
          <w:rFonts w:ascii="Calibri" w:cs="Calibri" w:eastAsia="Calibri" w:hAnsi="Calibri"/>
          <w:b/>
          <w:bCs/>
          <w:color w:val="0e2a47"/>
          <w:sz w:val="32"/>
          <w:szCs w:val="32"/>
        </w:rPr>
        <w:t xml:space="preserve">Executive Summary</w:t>
      </w:r>
    </w:p>
    <w:p>
      <w:pPr>
        <w:spacing w:after="150" w:before="100"/>
      </w:pPr>
      <w:r>
        <w:rPr>
          <w:rFonts w:ascii="Calibri" w:cs="Calibri" w:eastAsia="Calibri" w:hAnsi="Calibri"/>
          <w:sz w:val="22"/>
          <w:szCs w:val="22"/>
        </w:rPr>
        <w:t xml:space="preserve">The Esdros Theological Seminary Student Information System (SIS) and Learning Management System (LMS) is a modern web platform engineered to support academic enrollment, identity governance, grading audits, course scheduling, legacy data migration, and secure multi-role access panels. Built for the Mahibere Kidusan North America organization, this platform consolidates operational workflows across two core tracks: Theology and Geez Language.</w:t>
      </w:r>
    </w:p>
    <w:p>
      <w:pPr>
        <w:spacing w:after="300" w:before="100"/>
      </w:pPr>
      <w:r>
        <w:rPr>
          <w:rFonts w:ascii="Calibri" w:cs="Calibri" w:eastAsia="Calibri" w:hAnsi="Calibri"/>
          <w:sz w:val="22"/>
          <w:szCs w:val="22"/>
        </w:rPr>
        <w:t xml:space="preserve">This document serves as the official system architecture reference manual and operations playbook. It describes the underpinnings of the tech stack, security policies, active middleware proxies, multi-factor authentication (MFA), relational schemas, automatic email notifications, and structural deployment instructions for maintaining the platform long-term.</w:t>
      </w:r>
    </w:p>
    <w:p>
      <w:pPr>
        <w:pStyle w:val="Heading1"/>
        <w:spacing w:after="200" w:before="400"/>
      </w:pPr>
      <w:r>
        <w:rPr>
          <w:rFonts w:ascii="Calibri" w:cs="Calibri" w:eastAsia="Calibri" w:hAnsi="Calibri"/>
          <w:b/>
          <w:bCs/>
          <w:color w:val="0e2a47"/>
          <w:sz w:val="32"/>
          <w:szCs w:val="32"/>
        </w:rPr>
        <w:t xml:space="preserve">1. Core Technology Stack</w:t>
      </w:r>
    </w:p>
    <w:p>
      <w:pPr>
        <w:spacing w:after="150" w:before="100"/>
      </w:pPr>
      <w:r>
        <w:rPr>
          <w:rFonts w:ascii="Calibri" w:cs="Calibri" w:eastAsia="Calibri" w:hAnsi="Calibri"/>
          <w:sz w:val="22"/>
          <w:szCs w:val="22"/>
        </w:rPr>
        <w:t xml:space="preserve">• Frontend Engine: Next.js (version 16) utilizing App Router conventions for server-side layouts, dynamic routing, and fast client-side navigation. Dynamic routes are forced where live session updates are mandatory.
</w:t>
      </w:r>
      <w:r>
        <w:rPr>
          <w:rFonts w:ascii="Calibri" w:cs="Calibri" w:eastAsia="Calibri" w:hAnsi="Calibri"/>
          <w:sz w:val="22"/>
          <w:szCs w:val="22"/>
        </w:rPr>
        <w:t xml:space="preserve">• Database ORM Layer: Prisma ORM for robust schema definitions, automated migrations, and transactional integrity on server-side actions.
</w:t>
      </w:r>
      <w:r>
        <w:rPr>
          <w:rFonts w:ascii="Calibri" w:cs="Calibri" w:eastAsia="Calibri" w:hAnsi="Calibri"/>
          <w:sz w:val="22"/>
          <w:szCs w:val="22"/>
        </w:rPr>
        <w:t xml:space="preserve">• Backend Database: Neon serverless PostgreSQL, providing connection pool balancing and serverless scalability over SSL.
</w:t>
      </w:r>
      <w:r>
        <w:rPr>
          <w:rFonts w:ascii="Calibri" w:cs="Calibri" w:eastAsia="Calibri" w:hAnsi="Calibri"/>
          <w:sz w:val="22"/>
          <w:szCs w:val="22"/>
        </w:rPr>
        <w:t xml:space="preserve">• Styling &amp; Responsiveness: TailwindCSS &amp; Custom Vanilla CSS, providing glassmorphic card overlays, deep blue institutional themes, and fully fluid spacing matrices responsive from mobile to wide screen layouts.</w:t>
      </w:r>
    </w:p>
    <w:p>
      <w:pPr>
        <w:pStyle w:val="Heading1"/>
        <w:spacing w:after="200" w:before="400"/>
      </w:pPr>
      <w:r>
        <w:rPr>
          <w:rFonts w:ascii="Calibri" w:cs="Calibri" w:eastAsia="Calibri" w:hAnsi="Calibri"/>
          <w:b/>
          <w:bCs/>
          <w:color w:val="0e2a47"/>
          <w:sz w:val="32"/>
          <w:szCs w:val="32"/>
        </w:rPr>
        <w:t xml:space="preserve">2. System Security &amp; Access Controls</w:t>
      </w:r>
    </w:p>
    <w:p>
      <w:pPr>
        <w:spacing w:after="150" w:before="100"/>
      </w:pPr>
      <w:r>
        <w:rPr>
          <w:rFonts w:ascii="Calibri" w:cs="Calibri" w:eastAsia="Calibri" w:hAnsi="Calibri"/>
          <w:sz w:val="22"/>
          <w:szCs w:val="22"/>
        </w:rPr>
        <w:t xml:space="preserve">Security is implemented at both the server middleware level and the physical API level:</w:t>
      </w:r>
    </w:p>
    <w:p>
      <w:pPr>
        <w:spacing w:after="150" w:before="100"/>
      </w:pPr>
      <w:r>
        <w:rPr>
          <w:rFonts w:ascii="Calibri" w:cs="Calibri" w:eastAsia="Calibri" w:hAnsi="Calibri"/>
          <w:sz w:val="22"/>
          <w:szCs w:val="22"/>
        </w:rPr>
        <w:t xml:space="preserve">• Authentication Proxy (proxy.ts): A secure Edge-compatible middleware interceptor. It guarantees that only authorized, JWT-verified users access secure layouts (/dashboard). In addition, it checks path clearances to restrict non-super-admins from admin finance, settings, reporting, and credential management sections.
</w:t>
      </w:r>
      <w:r>
        <w:rPr>
          <w:rFonts w:ascii="Calibri" w:cs="Calibri" w:eastAsia="Calibri" w:hAnsi="Calibri"/>
          <w:sz w:val="22"/>
          <w:szCs w:val="22"/>
        </w:rPr>
        <w:t xml:space="preserve">• Session Governance: Session tokens are stored in HttpOnly cookies, rendering them immune to client-side XSS attacks.
</w:t>
      </w:r>
      <w:r>
        <w:rPr>
          <w:rFonts w:ascii="Calibri" w:cs="Calibri" w:eastAsia="Calibri" w:hAnsi="Calibri"/>
          <w:sz w:val="22"/>
          <w:szCs w:val="22"/>
        </w:rPr>
        <w:t xml:space="preserve">• Identity Recovery Console: Standard password reset generates dynamic 8-character, cryptographically safe temporary codes, instantly hashed using SHA-256 in the database. MFA Recovery instantly deactivates locked authenticator bindings for lockouts.</w:t>
      </w:r>
    </w:p>
    <w:p>
      <w:pPr>
        <w:pStyle w:val="Heading1"/>
        <w:spacing w:after="200" w:before="400"/>
      </w:pPr>
      <w:r>
        <w:rPr>
          <w:rFonts w:ascii="Calibri" w:cs="Calibri" w:eastAsia="Calibri" w:hAnsi="Calibri"/>
          <w:b/>
          <w:bCs/>
          <w:color w:val="0e2a47"/>
          <w:sz w:val="32"/>
          <w:szCs w:val="32"/>
        </w:rPr>
        <w:t xml:space="preserve">3. Database Schema Blueprint</w:t>
      </w:r>
    </w:p>
    <w:p>
      <w:pPr>
        <w:spacing w:after="150" w:before="100"/>
      </w:pPr>
      <w:r>
        <w:rPr>
          <w:rFonts w:ascii="Calibri" w:cs="Calibri" w:eastAsia="Calibri" w:hAnsi="Calibri"/>
          <w:sz w:val="22"/>
          <w:szCs w:val="22"/>
        </w:rPr>
        <w:t xml:space="preserve">The institutional database uses the following core Prisma models to guarantee relationship consistency:</w:t>
      </w:r>
    </w:p>
    <w:p>
      <w:pPr>
        <w:spacing w:after="150" w:before="100"/>
      </w:pPr>
      <w:r>
        <w:rPr>
          <w:rFonts w:ascii="Calibri" w:cs="Calibri" w:eastAsia="Calibri" w:hAnsi="Calibri"/>
          <w:sz w:val="22"/>
          <w:szCs w:val="22"/>
        </w:rPr>
        <w:t xml:space="preserve">• User: Master authentication table with roles (STUDENT, FACULTY, ADMIN), SHA-256 password hash, isSuperAdmin flag, mfaEnabled, and mfaSecret columns.
</w:t>
      </w:r>
      <w:r>
        <w:rPr>
          <w:rFonts w:ascii="Calibri" w:cs="Calibri" w:eastAsia="Calibri" w:hAnsi="Calibri"/>
          <w:sz w:val="22"/>
          <w:szCs w:val="22"/>
        </w:rPr>
        <w:t xml:space="preserve">• Student: Tracks cohort assignments, status (ACTIVE, ACADEMIC_PROBATION, GRADUATED, ALUMNI), track enrollment (THEOLOGY, GEEZ_LANGUAGE), and references class rosters.
</w:t>
      </w:r>
      <w:r>
        <w:rPr>
          <w:rFonts w:ascii="Calibri" w:cs="Calibri" w:eastAsia="Calibri" w:hAnsi="Calibri"/>
          <w:sz w:val="22"/>
          <w:szCs w:val="22"/>
        </w:rPr>
        <w:t xml:space="preserve">• Faculty: Profiles teachers, departments, and linked active courses.
</w:t>
      </w:r>
      <w:r>
        <w:rPr>
          <w:rFonts w:ascii="Calibri" w:cs="Calibri" w:eastAsia="Calibri" w:hAnsi="Calibri"/>
          <w:sz w:val="22"/>
          <w:szCs w:val="22"/>
        </w:rPr>
        <w:t xml:space="preserve">• Course &amp; CourseSection: Defines degree credits, tracks, semesters, rooms, and instructor relationships.
</w:t>
      </w:r>
      <w:r>
        <w:rPr>
          <w:rFonts w:ascii="Calibri" w:cs="Calibri" w:eastAsia="Calibri" w:hAnsi="Calibri"/>
          <w:sz w:val="22"/>
          <w:szCs w:val="22"/>
        </w:rPr>
        <w:t xml:space="preserve">• Enrollment: Tracks student grade averages, cumulative records, attendance history, and transcript details.</w:t>
      </w:r>
    </w:p>
    <w:p>
      <w:pPr>
        <w:pStyle w:val="Heading1"/>
        <w:spacing w:after="200" w:before="400"/>
      </w:pPr>
      <w:r>
        <w:rPr>
          <w:rFonts w:ascii="Calibri" w:cs="Calibri" w:eastAsia="Calibri" w:hAnsi="Calibri"/>
          <w:b/>
          <w:bCs/>
          <w:color w:val="0e2a47"/>
          <w:sz w:val="32"/>
          <w:szCs w:val="32"/>
        </w:rPr>
        <w:t xml:space="preserve">4. Automated Email Notification Pipelines</w:t>
      </w:r>
    </w:p>
    <w:p>
      <w:pPr>
        <w:spacing w:after="150" w:before="100"/>
      </w:pPr>
      <w:r>
        <w:rPr>
          <w:rFonts w:ascii="Calibri" w:cs="Calibri" w:eastAsia="Calibri" w:hAnsi="Calibri"/>
          <w:sz w:val="22"/>
          <w:szCs w:val="22"/>
        </w:rPr>
        <w:t xml:space="preserve">Automated triggers have been integrated into vital business processes to guarantee prompt information exchange:</w:t>
      </w:r>
    </w:p>
    <w:p>
      <w:pPr>
        <w:spacing w:after="150" w:before="100"/>
      </w:pPr>
      <w:r>
        <w:rPr>
          <w:rFonts w:ascii="Calibri" w:cs="Calibri" w:eastAsia="Calibri" w:hAnsi="Calibri"/>
          <w:sz w:val="22"/>
          <w:szCs w:val="22"/>
        </w:rPr>
        <w:t xml:space="preserve">• Welcome Credential Dispatch: Triggered on user creation. Newly created Admins and Faculty members receive emails with automated login links, temporary passwords, and secure profile advice. Approved applicants receive customized welcome notifications containing onboarding checklists.
</w:t>
      </w:r>
      <w:r>
        <w:rPr>
          <w:rFonts w:ascii="Calibri" w:cs="Calibri" w:eastAsia="Calibri" w:hAnsi="Calibri"/>
          <w:sz w:val="22"/>
          <w:szCs w:val="22"/>
        </w:rPr>
        <w:t xml:space="preserve">• Course Section Assignment Roster: Triggered when an administrator schedules a section. Faculty members are instantly emailed complete course details, classroom rooms, capacity bounds, and roster tools.
</w:t>
      </w:r>
      <w:r>
        <w:rPr>
          <w:rFonts w:ascii="Calibri" w:cs="Calibri" w:eastAsia="Calibri" w:hAnsi="Calibri"/>
          <w:sz w:val="22"/>
          <w:szCs w:val="22"/>
        </w:rPr>
        <w:t xml:space="preserve">• Official Transcript E-Delivery: Generates an on-demand, registrar-verified academic transcript containing detailed semester summaries, GPAs, and credits, emailed directly to the student in rich HTML.</w:t>
      </w:r>
    </w:p>
    <w:p>
      <w:pPr>
        <w:pStyle w:val="Heading1"/>
        <w:spacing w:after="200" w:before="400"/>
      </w:pPr>
      <w:r>
        <w:rPr>
          <w:rFonts w:ascii="Calibri" w:cs="Calibri" w:eastAsia="Calibri" w:hAnsi="Calibri"/>
          <w:b/>
          <w:bCs/>
          <w:color w:val="0e2a47"/>
          <w:sz w:val="32"/>
          <w:szCs w:val="32"/>
        </w:rPr>
        <w:t xml:space="preserve">5. Operation &amp; Deployment Playbook</w:t>
      </w:r>
    </w:p>
    <w:p>
      <w:pPr>
        <w:spacing w:after="150" w:before="100"/>
      </w:pPr>
      <w:r>
        <w:rPr>
          <w:rFonts w:ascii="Calibri" w:cs="Calibri" w:eastAsia="Calibri" w:hAnsi="Calibri"/>
          <w:sz w:val="22"/>
          <w:szCs w:val="22"/>
        </w:rPr>
        <w:t xml:space="preserve">To safely deploy or update the system in production, adhere to these procedural guidelines:</w:t>
      </w:r>
    </w:p>
    <w:p>
      <w:pPr>
        <w:spacing w:after="150" w:before="100"/>
      </w:pPr>
      <w:r>
        <w:rPr>
          <w:rFonts w:ascii="Calibri" w:cs="Calibri" w:eastAsia="Calibri" w:hAnsi="Calibri"/>
          <w:sz w:val="22"/>
          <w:szCs w:val="22"/>
        </w:rPr>
        <w:t xml:space="preserve">1. Environment Setup: Configure the system parameters inside the production environment host (.env):
</w:t>
      </w:r>
      <w:r>
        <w:rPr>
          <w:rFonts w:ascii="Calibri" w:cs="Calibri" w:eastAsia="Calibri" w:hAnsi="Calibri"/>
          <w:sz w:val="22"/>
          <w:szCs w:val="22"/>
        </w:rPr>
        <w:t xml:space="preserve">   - DATABASE_URL: PostgreSQL Connection URI.
</w:t>
      </w:r>
      <w:r>
        <w:rPr>
          <w:rFonts w:ascii="Calibri" w:cs="Calibri" w:eastAsia="Calibri" w:hAnsi="Calibri"/>
          <w:sz w:val="22"/>
          <w:szCs w:val="22"/>
        </w:rPr>
        <w:t xml:space="preserve">   - JWT_SECRET: A strong 256-bit cryptographic signature key.
</w:t>
      </w:r>
      <w:r>
        <w:rPr>
          <w:rFonts w:ascii="Calibri" w:cs="Calibri" w:eastAsia="Calibri" w:hAnsi="Calibri"/>
          <w:sz w:val="22"/>
          <w:szCs w:val="22"/>
        </w:rPr>
        <w:t xml:space="preserve">   - SMTP_HOST, SMTP_PORT, SMTP_USER, SMTP_PASS, SMTP_FROM: Credentials for SMTP email delivery.
</w:t>
      </w:r>
      <w:r>
        <w:rPr>
          <w:rFonts w:ascii="Calibri" w:cs="Calibri" w:eastAsia="Calibri" w:hAnsi="Calibri"/>
          <w:sz w:val="22"/>
          <w:szCs w:val="22"/>
        </w:rPr>
        <w:t xml:space="preserve">2. Schema Migrations: Execute 'npx prisma db push' or 'npx prisma migrate deploy' to update schema matrices.
</w:t>
      </w:r>
      <w:r>
        <w:rPr>
          <w:rFonts w:ascii="Calibri" w:cs="Calibri" w:eastAsia="Calibri" w:hAnsi="Calibri"/>
          <w:sz w:val="22"/>
          <w:szCs w:val="22"/>
        </w:rPr>
        <w:t xml:space="preserve">3. Build Optimized Bundle: Run 'npm run build' to perform typechecking and compile static/dynamic paths.
</w:t>
      </w:r>
      <w:r>
        <w:rPr>
          <w:rFonts w:ascii="Calibri" w:cs="Calibri" w:eastAsia="Calibri" w:hAnsi="Calibri"/>
          <w:sz w:val="22"/>
          <w:szCs w:val="22"/>
        </w:rPr>
        <w:t xml:space="preserve">4. Daemon Execution: Launch using 'npm run start' backed by PM2 or similar container orchestrators for 24/7 service resilience.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Esdros Seminary - Technical Architecture and Operations Manual</dc:title>
  <dc:creator>Esdros IT Division</dc:creator>
  <dc:description>Comprehensive system architecture, security matrix, database schemas, and operations playbook for Esdros Theological Seminary.</dc:description>
  <cp:lastModifiedBy>Un-named</cp:lastModifiedBy>
  <cp:revision>1</cp:revision>
  <dcterms:created xsi:type="dcterms:W3CDTF">2026-05-21T15:37:50.542Z</dcterms:created>
  <dcterms:modified xsi:type="dcterms:W3CDTF">2026-05-21T15:37:50.543Z</dcterms:modified>
</cp:coreProperties>
</file>

<file path=docProps/custom.xml><?xml version="1.0" encoding="utf-8"?>
<Properties xmlns="http://schemas.openxmlformats.org/officeDocument/2006/custom-properties" xmlns:vt="http://schemas.openxmlformats.org/officeDocument/2006/docPropsVTypes"/>
</file>