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009fe5"/>
          <w:sz w:val="24"/>
          <w:szCs w:val="24"/>
        </w:rPr>
        <w:t xml:space="preserve">MAHIBERE KIDUSAN NORTH AMERICA COORDINATING CENTER</w:t>
      </w:r>
    </w:p>
    <w:p>
      <w:pPr>
        <w:spacing w:after="300" w:before="100"/>
        <w:jc w:val="center"/>
      </w:pPr>
      <w:r>
        <w:rPr>
          <w:rFonts w:ascii="Calibri" w:cs="Calibri" w:eastAsia="Calibri" w:hAnsi="Calibri"/>
          <w:b/>
          <w:bCs/>
          <w:color w:val="0e2a47"/>
          <w:sz w:val="38"/>
          <w:szCs w:val="38"/>
        </w:rPr>
        <w:t xml:space="preserve">ESDROS THEOLOGICAL SEMINARY</w:t>
      </w:r>
    </w:p>
    <w:p>
      <w:pPr>
        <w:spacing w:after="600" w:before="200"/>
        <w:jc w:val="center"/>
      </w:pPr>
      <w:r>
        <w:rPr>
          <w:rFonts w:ascii="Calibri" w:cs="Calibri" w:eastAsia="Calibri" w:hAnsi="Calibri"/>
          <w:b/>
          <w:bCs/>
          <w:color w:val="475569"/>
          <w:sz w:val="20"/>
          <w:szCs w:val="20"/>
        </w:rPr>
        <w:t xml:space="preserve">Student Information &amp; Learning Management System (SIS-LMS)
Enterprise Architecture, Access Control, DevOps, &amp; Operations Manual</w:t>
      </w:r>
    </w:p>
    <w:p>
      <w:pPr>
        <w:spacing w:after="200" w:before="1500"/>
        <w:jc w:val="center"/>
      </w:pPr>
      <w:r>
        <w:rPr>
          <w:rFonts w:ascii="Calibri" w:cs="Calibri" w:eastAsia="Calibri" w:hAnsi="Calibri"/>
          <w:color w:val="64748b"/>
          <w:sz w:val="16"/>
          <w:szCs w:val="16"/>
        </w:rPr>
        <w:t xml:space="preserve">Version 3.0 (Enterprise Release) • Published May 2026</w:t>
      </w:r>
    </w:p>
    <w:p>
      <w:pPr>
        <w:spacing w:after="1000" w:before="100"/>
        <w:jc w:val="center"/>
      </w:pPr>
      <w:r>
        <w:rPr>
          <w:rFonts w:ascii="Calibri" w:cs="Calibri" w:eastAsia="Calibri" w:hAnsi="Calibri"/>
          <w:color w:val="64748b"/>
          <w:sz w:val="14"/>
          <w:szCs w:val="14"/>
        </w:rPr>
        <w:t xml:space="preserve">Prepared for: System Owners, Registrar Office, Administrative Deans, DevOps Teams, and Systems Maintainers</w:t>
      </w:r>
    </w:p>
    <w:p>
      <w:pPr>
        <w:pStyle w:val="Heading1"/>
        <w:spacing w:after="200" w:before="400"/>
      </w:pPr>
      <w:r>
        <w:rPr>
          <w:rFonts w:ascii="Calibri" w:cs="Calibri" w:eastAsia="Calibri" w:hAnsi="Calibri"/>
          <w:b/>
          <w:bCs/>
          <w:color w:val="0e2a47"/>
          <w:sz w:val="28"/>
          <w:szCs w:val="28"/>
        </w:rPr>
        <w:t xml:space="preserve">1. Executive &amp; Operational Summary</w:t>
      </w:r>
    </w:p>
    <w:p>
      <w:pPr>
        <w:spacing w:after="120" w:before="100"/>
      </w:pPr>
      <w:r>
        <w:rPr>
          <w:rFonts w:ascii="Calibri" w:cs="Calibri" w:eastAsia="Calibri" w:hAnsi="Calibri"/>
          <w:sz w:val="22"/>
          <w:szCs w:val="22"/>
        </w:rPr>
        <w:t xml:space="preserve">The Esdros Theological Seminary Student Information System (SIS) and Learning Management System (LMS) is a modern, unified web platform engineered to support academic enrollment, identity governance, grading audits, course scheduling, legacy data migration, tuition balances, and secure multi-role access controls. Built specifically for Mahibere Kidusan North America, this portal integrates organizational administration workflows across two core traditional programs: Theology and Geez Language.</w:t>
      </w:r>
    </w:p>
    <w:p>
      <w:pPr>
        <w:spacing w:after="250" w:before="100"/>
      </w:pPr>
      <w:r>
        <w:rPr>
          <w:rFonts w:ascii="Calibri" w:cs="Calibri" w:eastAsia="Calibri" w:hAnsi="Calibri"/>
          <w:sz w:val="22"/>
          <w:szCs w:val="22"/>
        </w:rPr>
        <w:t xml:space="preserve">This document serves as the official enterprise system architecture reference manual and operational playbook. It covers the frontend and backend technology stack specifications, dual-portal layouts (public vs. private secure portals), end-to-end institutional data flows, role-based access management, comprehensive database schemas, application development standards, and DevOps/CI/CD deployment procedures.</w:t>
      </w:r>
    </w:p>
    <w:p>
      <w:pPr>
        <w:pStyle w:val="Heading1"/>
        <w:spacing w:after="200" w:before="400"/>
      </w:pPr>
      <w:r>
        <w:rPr>
          <w:rFonts w:ascii="Calibri" w:cs="Calibri" w:eastAsia="Calibri" w:hAnsi="Calibri"/>
          <w:b/>
          <w:bCs/>
          <w:color w:val="0e2a47"/>
          <w:sz w:val="28"/>
          <w:szCs w:val="28"/>
        </w:rPr>
        <w:t xml:space="preserve">2. Dual Portal System Architecture</w:t>
      </w:r>
    </w:p>
    <w:p>
      <w:pPr>
        <w:spacing w:after="120" w:before="100"/>
      </w:pPr>
      <w:r>
        <w:rPr>
          <w:rFonts w:ascii="Calibri" w:cs="Calibri" w:eastAsia="Calibri" w:hAnsi="Calibri"/>
          <w:sz w:val="22"/>
          <w:szCs w:val="22"/>
        </w:rPr>
        <w:t xml:space="preserve">The platform operates on a split-portal structure designed for optimal performance, fast public accessibility, and absolute database isolation for private institutional sections. Public pages are optimized for search engines and require no user login sessions, whereas private portals reside securely behind custom middleware validators.</w:t>
      </w:r>
    </w:p>
    <w:p>
      <w:pPr>
        <w:pStyle w:val="Heading2"/>
        <w:spacing w:after="150" w:before="300"/>
      </w:pPr>
      <w:r>
        <w:rPr>
          <w:rFonts w:ascii="Calibri" w:cs="Calibri" w:eastAsia="Calibri" w:hAnsi="Calibri"/>
          <w:b/>
          <w:bCs/>
          <w:color w:val="009fe5"/>
          <w:sz w:val="24"/>
          <w:szCs w:val="24"/>
        </w:rPr>
        <w:t xml:space="preserve">2.1 Public-Facing Marketing &amp; Admissions Portal</w:t>
      </w:r>
    </w:p>
    <w:p>
      <w:pPr>
        <w:spacing w:after="120" w:before="100"/>
      </w:pPr>
      <w:r>
        <w:rPr>
          <w:rFonts w:ascii="Calibri" w:cs="Calibri" w:eastAsia="Calibri" w:hAnsi="Calibri"/>
          <w:sz w:val="22"/>
          <w:szCs w:val="22"/>
        </w:rPr>
        <w:t xml:space="preserve">• Seminary Homepage (/): Introduces the seminary mission, core theological values, traditional history, and coordinations.
</w:t>
      </w:r>
      <w:r>
        <w:rPr>
          <w:rFonts w:ascii="Calibri" w:cs="Calibri" w:eastAsia="Calibri" w:hAnsi="Calibri"/>
          <w:sz w:val="22"/>
          <w:szCs w:val="22"/>
        </w:rPr>
        <w:t xml:space="preserve">• Dynamic Academic Calendar (/academics/academic-calendar): Displays schedule terms, final weeks, registration durations, and holidays.
</w:t>
      </w:r>
      <w:r>
        <w:rPr>
          <w:rFonts w:ascii="Calibri" w:cs="Calibri" w:eastAsia="Calibri" w:hAnsi="Calibri"/>
          <w:sz w:val="22"/>
          <w:szCs w:val="22"/>
        </w:rPr>
        <w:t xml:space="preserve">• Degree Programs Catalog (/academics/degree-programs): Comprehensive catalog for Theology and Geez language tracks detailing credits and requisites.
</w:t>
      </w:r>
      <w:r>
        <w:rPr>
          <w:rFonts w:ascii="Calibri" w:cs="Calibri" w:eastAsia="Calibri" w:hAnsi="Calibri"/>
          <w:sz w:val="22"/>
          <w:szCs w:val="22"/>
        </w:rPr>
        <w:t xml:space="preserve">• Faculty Directory (/academics/faculty-directory): Shows administrative staff, biographies, departments, and active instructor contacts.
</w:t>
      </w:r>
      <w:r>
        <w:rPr>
          <w:rFonts w:ascii="Calibri" w:cs="Calibri" w:eastAsia="Calibri" w:hAnsi="Calibri"/>
          <w:sz w:val="22"/>
          <w:szCs w:val="22"/>
        </w:rPr>
        <w:t xml:space="preserve">• Online Admissions Application Form (/apply): Prospective student gateway where applicants register personal information, select their tracks, and submit faith statements, immediately generating their applicant account.</w:t>
      </w:r>
    </w:p>
    <w:p>
      <w:pPr>
        <w:pStyle w:val="Heading2"/>
        <w:spacing w:after="150" w:before="300"/>
      </w:pPr>
      <w:r>
        <w:rPr>
          <w:rFonts w:ascii="Calibri" w:cs="Calibri" w:eastAsia="Calibri" w:hAnsi="Calibri"/>
          <w:b/>
          <w:bCs/>
          <w:color w:val="009fe5"/>
          <w:sz w:val="24"/>
          <w:szCs w:val="24"/>
        </w:rPr>
        <w:t xml:space="preserve">2.2 Private SIS &amp; LMS Portal (/dashboard)</w:t>
      </w:r>
    </w:p>
    <w:p>
      <w:pPr>
        <w:spacing w:after="120" w:before="100"/>
      </w:pPr>
      <w:r>
        <w:rPr>
          <w:rFonts w:ascii="Calibri" w:cs="Calibri" w:eastAsia="Calibri" w:hAnsi="Calibri"/>
          <w:sz w:val="22"/>
          <w:szCs w:val="22"/>
        </w:rPr>
        <w:t xml:space="preserve">Governed by the Edge-compatible cookies session middleware proxy.ts. Depending on the user's role parameters stored in their signed JWT token, they are securely mapped to their layout module:
</w:t>
      </w:r>
      <w:r>
        <w:rPr>
          <w:rFonts w:ascii="Calibri" w:cs="Calibri" w:eastAsia="Calibri" w:hAnsi="Calibri"/>
          <w:sz w:val="22"/>
          <w:szCs w:val="22"/>
        </w:rPr>
        <w:t xml:space="preserve">• Student Dashboard (/dashboard/student): Controls course registration, schedule lookups, balance checks, payment notifications, and registrar transcript generation.
</w:t>
      </w:r>
      <w:r>
        <w:rPr>
          <w:rFonts w:ascii="Calibri" w:cs="Calibri" w:eastAsia="Calibri" w:hAnsi="Calibri"/>
          <w:sz w:val="22"/>
          <w:szCs w:val="22"/>
        </w:rPr>
        <w:t xml:space="preserve">• Faculty Dashboard (/dashboard/faculty): Renders instructor cohort schedules, active classroom rosters, student attendance registers, and semester grade submission sheets.
</w:t>
      </w:r>
      <w:r>
        <w:rPr>
          <w:rFonts w:ascii="Calibri" w:cs="Calibri" w:eastAsia="Calibri" w:hAnsi="Calibri"/>
          <w:sz w:val="22"/>
          <w:szCs w:val="22"/>
        </w:rPr>
        <w:t xml:space="preserve">• Administrative Console (/dashboard/admin): Powers admissions CRM pipelines, degree audits, course section schedulers, and faculty offboarding controls.
</w:t>
      </w:r>
      <w:r>
        <w:rPr>
          <w:rFonts w:ascii="Calibri" w:cs="Calibri" w:eastAsia="Calibri" w:hAnsi="Calibri"/>
          <w:sz w:val="22"/>
          <w:szCs w:val="22"/>
        </w:rPr>
        <w:t xml:space="preserve">• Manage Admins Panel (/dashboard/admin/manage-admins): Unlocked only for super administrators to manage user access levels and delegate access settings.</w:t>
      </w:r>
    </w:p>
    <w:p>
      <w:pPr>
        <w:pStyle w:val="Heading1"/>
        <w:spacing w:after="200" w:before="400"/>
      </w:pPr>
      <w:r>
        <w:rPr>
          <w:rFonts w:ascii="Calibri" w:cs="Calibri" w:eastAsia="Calibri" w:hAnsi="Calibri"/>
          <w:b/>
          <w:bCs/>
          <w:color w:val="0e2a47"/>
          <w:sz w:val="28"/>
          <w:szCs w:val="28"/>
        </w:rPr>
        <w:t xml:space="preserve">3. End-to-End System Data Flows</w:t>
      </w:r>
    </w:p>
    <w:p>
      <w:pPr>
        <w:pStyle w:val="Heading2"/>
        <w:spacing w:after="150" w:before="300"/>
      </w:pPr>
      <w:r>
        <w:rPr>
          <w:rFonts w:ascii="Calibri" w:cs="Calibri" w:eastAsia="Calibri" w:hAnsi="Calibri"/>
          <w:b/>
          <w:bCs/>
          <w:color w:val="009fe5"/>
          <w:sz w:val="24"/>
          <w:szCs w:val="24"/>
        </w:rPr>
        <w:t xml:space="preserve">3.1 Student Admissions &amp; Onboarding Data Flow</w:t>
      </w:r>
    </w:p>
    <w:p>
      <w:pPr>
        <w:spacing w:after="120" w:before="100"/>
      </w:pPr>
      <w:r>
        <w:rPr>
          <w:rFonts w:ascii="Calibri" w:cs="Calibri" w:eastAsia="Calibri" w:hAnsi="Calibri"/>
          <w:sz w:val="22"/>
          <w:szCs w:val="22"/>
        </w:rPr>
        <w:t xml:space="preserve">1. The prospective candidate fills out the public apply form. The system posts data to /api/admissions/apply.
</w:t>
      </w:r>
      <w:r>
        <w:rPr>
          <w:rFonts w:ascii="Calibri" w:cs="Calibri" w:eastAsia="Calibri" w:hAnsi="Calibri"/>
          <w:sz w:val="22"/>
          <w:szCs w:val="22"/>
        </w:rPr>
        <w:t xml:space="preserve">2. The database creates a User record with role: STUDENT and an AdmissionApplication record with status: SUBMITTED.
</w:t>
      </w:r>
      <w:r>
        <w:rPr>
          <w:rFonts w:ascii="Calibri" w:cs="Calibri" w:eastAsia="Calibri" w:hAnsi="Calibri"/>
          <w:sz w:val="22"/>
          <w:szCs w:val="22"/>
        </w:rPr>
        <w:t xml:space="preserve">3. An administrator reviews the application from the admissions console, setting application status: APPROVED and choosing a class cohort.
</w:t>
      </w:r>
      <w:r>
        <w:rPr>
          <w:rFonts w:ascii="Calibri" w:cs="Calibri" w:eastAsia="Calibri" w:hAnsi="Calibri"/>
          <w:sz w:val="22"/>
          <w:szCs w:val="22"/>
        </w:rPr>
        <w:t xml:space="preserve">4. The database creates a Student profile linked to their user account and dynamically triggers an email welcome notification with credentials.</w:t>
      </w:r>
    </w:p>
    <w:p>
      <w:pPr>
        <w:pStyle w:val="Heading2"/>
        <w:spacing w:after="150" w:before="300"/>
      </w:pPr>
      <w:r>
        <w:rPr>
          <w:rFonts w:ascii="Calibri" w:cs="Calibri" w:eastAsia="Calibri" w:hAnsi="Calibri"/>
          <w:b/>
          <w:bCs/>
          <w:color w:val="009fe5"/>
          <w:sz w:val="24"/>
          <w:szCs w:val="24"/>
        </w:rPr>
        <w:t xml:space="preserve">3.2 Course Scheduling &amp; Faculty Roster Assignment Data Flow</w:t>
      </w:r>
    </w:p>
    <w:p>
      <w:pPr>
        <w:spacing w:after="120" w:before="100"/>
      </w:pPr>
      <w:r>
        <w:rPr>
          <w:rFonts w:ascii="Calibri" w:cs="Calibri" w:eastAsia="Calibri" w:hAnsi="Calibri"/>
          <w:sz w:val="22"/>
          <w:szCs w:val="22"/>
        </w:rPr>
        <w:t xml:space="preserve">1. An administrator creates a course section inside a term, picking class capacity, physical classroom, and faculty instructor. Posts data to /api/admin/faculty/assign-course.
</w:t>
      </w:r>
      <w:r>
        <w:rPr>
          <w:rFonts w:ascii="Calibri" w:cs="Calibri" w:eastAsia="Calibri" w:hAnsi="Calibri"/>
          <w:sz w:val="22"/>
          <w:szCs w:val="22"/>
        </w:rPr>
        <w:t xml:space="preserve">2. The database updates CourseSection records. The system hooks into lib/mail.ts, dynamically issuing an email alert to the assigned faculty member containing course codes, times, and catalog rosters.
</w:t>
      </w:r>
      <w:r>
        <w:rPr>
          <w:rFonts w:ascii="Calibri" w:cs="Calibri" w:eastAsia="Calibri" w:hAnsi="Calibri"/>
          <w:sz w:val="22"/>
          <w:szCs w:val="22"/>
        </w:rPr>
        <w:t xml:space="preserve">3. Students register for this scheduled section, which adds records into the Enrollment table and updates seats capacity in real time.</w:t>
      </w:r>
    </w:p>
    <w:p>
      <w:pPr>
        <w:pStyle w:val="Heading2"/>
        <w:spacing w:after="150" w:before="300"/>
      </w:pPr>
      <w:r>
        <w:rPr>
          <w:rFonts w:ascii="Calibri" w:cs="Calibri" w:eastAsia="Calibri" w:hAnsi="Calibri"/>
          <w:b/>
          <w:bCs/>
          <w:color w:val="009fe5"/>
          <w:sz w:val="24"/>
          <w:szCs w:val="24"/>
        </w:rPr>
        <w:t xml:space="preserve">3.3 Attendance, Evaluation, &amp; Transcript Delivery Data Flow</w:t>
      </w:r>
    </w:p>
    <w:p>
      <w:pPr>
        <w:spacing w:after="120" w:before="100"/>
      </w:pPr>
      <w:r>
        <w:rPr>
          <w:rFonts w:ascii="Calibri" w:cs="Calibri" w:eastAsia="Calibri" w:hAnsi="Calibri"/>
          <w:sz w:val="22"/>
          <w:szCs w:val="22"/>
        </w:rPr>
        <w:t xml:space="preserve">1. Faculty submits grades and marks daily rosters. Numerical grades out of 100 are converted to GPA letters in Enrollment records.
</w:t>
      </w:r>
      <w:r>
        <w:rPr>
          <w:rFonts w:ascii="Calibri" w:cs="Calibri" w:eastAsia="Calibri" w:hAnsi="Calibri"/>
          <w:sz w:val="22"/>
          <w:szCs w:val="22"/>
        </w:rPr>
        <w:t xml:space="preserve">2. The Registrar issues transcripts from /api/admin/transcripts/send, which queries the cumulative database to tally semester GPAs and credits.
</w:t>
      </w:r>
      <w:r>
        <w:rPr>
          <w:rFonts w:ascii="Calibri" w:cs="Calibri" w:eastAsia="Calibri" w:hAnsi="Calibri"/>
          <w:sz w:val="22"/>
          <w:szCs w:val="22"/>
        </w:rPr>
        <w:t xml:space="preserve">3. The email engine packs a styled registrar HTML sheet containing all transcripts details and sends it directly to the student's institutional inbox.</w:t>
      </w:r>
    </w:p>
    <w:p>
      <w:pPr>
        <w:pStyle w:val="Heading1"/>
        <w:spacing w:after="200" w:before="400"/>
      </w:pPr>
      <w:r>
        <w:rPr>
          <w:rFonts w:ascii="Calibri" w:cs="Calibri" w:eastAsia="Calibri" w:hAnsi="Calibri"/>
          <w:b/>
          <w:bCs/>
          <w:color w:val="0e2a47"/>
          <w:sz w:val="28"/>
          <w:szCs w:val="28"/>
        </w:rPr>
        <w:t xml:space="preserve">4. User Roles &amp; Clearance Governance</w:t>
      </w:r>
    </w:p>
    <w:p>
      <w:pPr>
        <w:spacing w:after="120" w:before="100"/>
      </w:pPr>
      <w:r>
        <w:rPr>
          <w:rFonts w:ascii="Calibri" w:cs="Calibri" w:eastAsia="Calibri" w:hAnsi="Calibri"/>
          <w:sz w:val="22"/>
          <w:szCs w:val="22"/>
        </w:rPr>
        <w:t xml:space="preserve">The platform implements four distinct clearance levels to isolate data access and operational actions:</w:t>
      </w:r>
    </w:p>
    <w:p>
      <w:pPr>
        <w:spacing w:after="120" w:before="100"/>
      </w:pPr>
      <w:r>
        <w:rPr>
          <w:rFonts w:ascii="Calibri" w:cs="Calibri" w:eastAsia="Calibri" w:hAnsi="Calibri"/>
          <w:sz w:val="22"/>
          <w:szCs w:val="22"/>
        </w:rPr>
        <w:t xml:space="preserve">• Super Admin (Clearance: Full System Owner): Has unrestricted system permissions. Controls settings configuration, database seeds, PM2 orchestrations, tuition balance ledgers, and can delegate restricted admin permissions or manage account credential recoveries.
</w:t>
      </w:r>
      <w:r>
        <w:rPr>
          <w:rFonts w:ascii="Calibri" w:cs="Calibri" w:eastAsia="Calibri" w:hAnsi="Calibri"/>
          <w:sz w:val="22"/>
          <w:szCs w:val="22"/>
        </w:rPr>
        <w:t xml:space="preserve">• Restricted Admin (Clearance: Operations Staff): Permitted to manage admissions CRM, view course catalog rosters, track course section enrollments, handle grading locks, and attach legacy scans. Shielded from settings configuration, tuition invoices, and delegating permissions.
</w:t>
      </w:r>
      <w:r>
        <w:rPr>
          <w:rFonts w:ascii="Calibri" w:cs="Calibri" w:eastAsia="Calibri" w:hAnsi="Calibri"/>
          <w:sz w:val="22"/>
          <w:szCs w:val="22"/>
        </w:rPr>
        <w:t xml:space="preserve">• Faculty (Clearance: Academic Instructors): Restricted strictly to their assigned course sections. Permitted to print rosters, log daily attendance sheet matrices, and submit numerical student grades out of 100.
</w:t>
      </w:r>
      <w:r>
        <w:rPr>
          <w:rFonts w:ascii="Calibri" w:cs="Calibri" w:eastAsia="Calibri" w:hAnsi="Calibri"/>
          <w:sz w:val="22"/>
          <w:szCs w:val="22"/>
        </w:rPr>
        <w:t xml:space="preserve">• Student (Clearance: Active Candidates / Alumni): Restricted strictly to their individual dossier. Permitted to register for open term semesters, view active course logs, balance invoices, and download transcripts.</w:t>
      </w:r>
    </w:p>
    <w:p>
      <w:pPr>
        <w:pStyle w:val="Heading1"/>
        <w:spacing w:after="200" w:before="400"/>
      </w:pPr>
      <w:r>
        <w:rPr>
          <w:rFonts w:ascii="Calibri" w:cs="Calibri" w:eastAsia="Calibri" w:hAnsi="Calibri"/>
          <w:b/>
          <w:bCs/>
          <w:color w:val="0e2a47"/>
          <w:sz w:val="28"/>
          <w:szCs w:val="28"/>
        </w:rPr>
        <w:t xml:space="preserve">5. Application Development &amp; Coding Standards</w:t>
      </w:r>
    </w:p>
    <w:p>
      <w:pPr>
        <w:spacing w:after="120" w:before="100"/>
      </w:pPr>
      <w:r>
        <w:rPr>
          <w:rFonts w:ascii="Calibri" w:cs="Calibri" w:eastAsia="Calibri" w:hAnsi="Calibri"/>
          <w:sz w:val="22"/>
          <w:szCs w:val="22"/>
        </w:rPr>
        <w:t xml:space="preserve">Maintaining this platform long-term requires strict adherence to institutional development rules:
</w:t>
      </w:r>
      <w:r>
        <w:rPr>
          <w:rFonts w:ascii="Calibri" w:cs="Calibri" w:eastAsia="Calibri" w:hAnsi="Calibri"/>
          <w:sz w:val="22"/>
          <w:szCs w:val="22"/>
        </w:rPr>
        <w:t xml:space="preserve">• Server &amp; Client Boundaries: Enforce 'use client' only for interactive UI forms. All business data fetches and Prisma ORM updates must be executed in secure API route files.
</w:t>
      </w:r>
      <w:r>
        <w:rPr>
          <w:rFonts w:ascii="Calibri" w:cs="Calibri" w:eastAsia="Calibri" w:hAnsi="Calibri"/>
          <w:sz w:val="22"/>
          <w:szCs w:val="22"/>
        </w:rPr>
        <w:t xml:space="preserve">• Transaction Security: Multi-row database edits must be executed inside Prisma's transaction wrapper 'prisma.$transaction(async (tx) =&gt; { ... })' to guarantee ACID compliance.
</w:t>
      </w:r>
      <w:r>
        <w:rPr>
          <w:rFonts w:ascii="Calibri" w:cs="Calibri" w:eastAsia="Calibri" w:hAnsi="Calibri"/>
          <w:sz w:val="22"/>
          <w:szCs w:val="22"/>
        </w:rPr>
        <w:t xml:space="preserve">• Password Encryptions: Passwords must always be securely stored using cryptographically safe hashes (SHA-256 or bcrypt) and compared over secure sessions.
</w:t>
      </w:r>
      <w:r>
        <w:rPr>
          <w:rFonts w:ascii="Calibri" w:cs="Calibri" w:eastAsia="Calibri" w:hAnsi="Calibri"/>
          <w:sz w:val="22"/>
          <w:szCs w:val="22"/>
        </w:rPr>
        <w:t xml:space="preserve">• Styling &amp; UI Rules: Follow the HSL design palette using Mahibere Kidusan North America colors: deep blue (#0e2a47) and light sky blue (#009fe5). Spacing matrices must support dynamic, fully fluid layouts responsive from mobile up to wide screen screens.</w:t>
      </w:r>
    </w:p>
    <w:p>
      <w:pPr>
        <w:pStyle w:val="Heading1"/>
        <w:spacing w:after="200" w:before="400"/>
      </w:pPr>
      <w:r>
        <w:rPr>
          <w:rFonts w:ascii="Calibri" w:cs="Calibri" w:eastAsia="Calibri" w:hAnsi="Calibri"/>
          <w:b/>
          <w:bCs/>
          <w:color w:val="0e2a47"/>
          <w:sz w:val="28"/>
          <w:szCs w:val="28"/>
        </w:rPr>
        <w:t xml:space="preserve">6. DevOps, CI/CD, &amp; Operations Playbook</w:t>
      </w:r>
    </w:p>
    <w:p>
      <w:pPr>
        <w:spacing w:after="120" w:before="100"/>
      </w:pPr>
      <w:r>
        <w:rPr>
          <w:rFonts w:ascii="Calibri" w:cs="Calibri" w:eastAsia="Calibri" w:hAnsi="Calibri"/>
          <w:sz w:val="22"/>
          <w:szCs w:val="22"/>
        </w:rPr>
        <w:t xml:space="preserve">This section details the continuous integration, continuous delivery (CI/CD), hosting profiles, and maintenance scripts needed to run the seminary system safely.</w:t>
      </w:r>
    </w:p>
    <w:p>
      <w:pPr>
        <w:pStyle w:val="Heading2"/>
        <w:spacing w:after="150" w:before="300"/>
      </w:pPr>
      <w:r>
        <w:rPr>
          <w:rFonts w:ascii="Calibri" w:cs="Calibri" w:eastAsia="Calibri" w:hAnsi="Calibri"/>
          <w:b/>
          <w:bCs/>
          <w:color w:val="009fe5"/>
          <w:sz w:val="24"/>
          <w:szCs w:val="24"/>
        </w:rPr>
        <w:t xml:space="preserve">6.1 Continuous Integration &amp; Delivery Pipeline (CI/CD)</w:t>
      </w:r>
    </w:p>
    <w:p>
      <w:pPr>
        <w:spacing w:after="120" w:before="100"/>
      </w:pPr>
      <w:r>
        <w:rPr>
          <w:rFonts w:ascii="Calibri" w:cs="Calibri" w:eastAsia="Calibri" w:hAnsi="Calibri"/>
          <w:sz w:val="22"/>
          <w:szCs w:val="22"/>
        </w:rPr>
        <w:t xml:space="preserve">Every code change is pushed through a standardized GitHub actions workflow that triggers the following pipeline automation steps:
</w:t>
      </w:r>
      <w:r>
        <w:rPr>
          <w:rFonts w:ascii="Calibri" w:cs="Calibri" w:eastAsia="Calibri" w:hAnsi="Calibri"/>
          <w:sz w:val="22"/>
          <w:szCs w:val="22"/>
        </w:rPr>
        <w:t xml:space="preserve">1. Code Linting &amp; Format: Verifies that styles adhere strictly to TailwindCSS and ESLint rules.
</w:t>
      </w:r>
      <w:r>
        <w:rPr>
          <w:rFonts w:ascii="Calibri" w:cs="Calibri" w:eastAsia="Calibri" w:hAnsi="Calibri"/>
          <w:sz w:val="22"/>
          <w:szCs w:val="22"/>
        </w:rPr>
        <w:t xml:space="preserve">2. Database Client Generation: Generates localized Prisma types using 'npx prisma generate'.
</w:t>
      </w:r>
      <w:r>
        <w:rPr>
          <w:rFonts w:ascii="Calibri" w:cs="Calibri" w:eastAsia="Calibri" w:hAnsi="Calibri"/>
          <w:sz w:val="22"/>
          <w:szCs w:val="22"/>
        </w:rPr>
        <w:t xml:space="preserve">3. Compilation Check: Compiles Next.js bundle pages using 'npm run build'. If a compilation or typescript error occurs, the release is aborted.
</w:t>
      </w:r>
      <w:r>
        <w:rPr>
          <w:rFonts w:ascii="Calibri" w:cs="Calibri" w:eastAsia="Calibri" w:hAnsi="Calibri"/>
          <w:sz w:val="22"/>
          <w:szCs w:val="22"/>
        </w:rPr>
        <w:t xml:space="preserve">4. Deployment Dispatch: If the branch is 'main', the compiled code is securely pushed to the cloud host (e.g. Vercel, VPS, or Docker container) and database migrations are applied.</w:t>
      </w:r>
    </w:p>
    <w:p>
      <w:pPr>
        <w:pStyle w:val="Heading2"/>
        <w:spacing w:after="150" w:before="300"/>
      </w:pPr>
      <w:r>
        <w:rPr>
          <w:rFonts w:ascii="Calibri" w:cs="Calibri" w:eastAsia="Calibri" w:hAnsi="Calibri"/>
          <w:b/>
          <w:bCs/>
          <w:color w:val="009fe5"/>
          <w:sz w:val="24"/>
          <w:szCs w:val="24"/>
        </w:rPr>
        <w:t xml:space="preserve">6.2 Deployment Settings &amp; Environment Variables (.env)</w:t>
      </w:r>
    </w:p>
    <w:p>
      <w:pPr>
        <w:spacing w:after="120" w:before="100"/>
      </w:pPr>
      <w:r>
        <w:rPr>
          <w:rFonts w:ascii="Calibri" w:cs="Calibri" w:eastAsia="Calibri" w:hAnsi="Calibri"/>
          <w:sz w:val="22"/>
          <w:szCs w:val="22"/>
        </w:rPr>
        <w:t xml:space="preserve">The institutional .env file must contain the following production configuration parameters:
</w:t>
      </w:r>
      <w:r>
        <w:rPr>
          <w:rFonts w:ascii="Calibri" w:cs="Calibri" w:eastAsia="Calibri" w:hAnsi="Calibri"/>
          <w:sz w:val="22"/>
          <w:szCs w:val="22"/>
        </w:rPr>
        <w:t xml:space="preserve">   - DATABASE_URL: PostgreSQL serverless Neon database pooled connection URI over SSL.
</w:t>
      </w:r>
      <w:r>
        <w:rPr>
          <w:rFonts w:ascii="Calibri" w:cs="Calibri" w:eastAsia="Calibri" w:hAnsi="Calibri"/>
          <w:sz w:val="22"/>
          <w:szCs w:val="22"/>
        </w:rPr>
        <w:t xml:space="preserve">   - JWT_SECRET: Unlocked 256-bit institutional signature key used to secure signed cookies.
</w:t>
      </w:r>
      <w:r>
        <w:rPr>
          <w:rFonts w:ascii="Calibri" w:cs="Calibri" w:eastAsia="Calibri" w:hAnsi="Calibri"/>
          <w:sz w:val="22"/>
          <w:szCs w:val="22"/>
        </w:rPr>
        <w:t xml:space="preserve">   - SMTP_HOST, SMTP_PORT, SMTP_USER, SMTP_PASS, SMTP_FROM: Live SMTP configuration details for email delivery.
</w:t>
      </w:r>
      <w:r>
        <w:rPr>
          <w:rFonts w:ascii="Calibri" w:cs="Calibri" w:eastAsia="Calibri" w:hAnsi="Calibri"/>
          <w:sz w:val="22"/>
          <w:szCs w:val="22"/>
        </w:rPr>
        <w:t xml:space="preserve">   - NEXT_PUBLIC_APP_URL: Public domain URI of the seminary server (e.g. https://esdros.org).</w:t>
      </w:r>
    </w:p>
    <w:p>
      <w:pPr>
        <w:pStyle w:val="Heading2"/>
        <w:spacing w:after="150" w:before="300"/>
      </w:pPr>
      <w:r>
        <w:rPr>
          <w:rFonts w:ascii="Calibri" w:cs="Calibri" w:eastAsia="Calibri" w:hAnsi="Calibri"/>
          <w:b/>
          <w:bCs/>
          <w:color w:val="009fe5"/>
          <w:sz w:val="24"/>
          <w:szCs w:val="24"/>
        </w:rPr>
        <w:t xml:space="preserve">6.3 PM2 Daemon Process Manager Execution</w:t>
      </w:r>
    </w:p>
    <w:p>
      <w:pPr>
        <w:spacing w:after="120" w:before="100"/>
      </w:pPr>
      <w:r>
        <w:rPr>
          <w:rFonts w:ascii="Calibri" w:cs="Calibri" w:eastAsia="Calibri" w:hAnsi="Calibri"/>
          <w:sz w:val="22"/>
          <w:szCs w:val="22"/>
        </w:rPr>
        <w:t xml:space="preserve">Keep the Next.js process running 24/7 in VPS environments using PM2 daemon settings:
</w:t>
      </w:r>
      <w:r>
        <w:rPr>
          <w:rFonts w:ascii="Calibri" w:cs="Calibri" w:eastAsia="Calibri" w:hAnsi="Calibri"/>
          <w:sz w:val="22"/>
          <w:szCs w:val="22"/>
        </w:rPr>
        <w:t xml:space="preserve">   - PM2 Startup Launch: pm2 start npm --name 'esdros-sms' -- run start
</w:t>
      </w:r>
      <w:r>
        <w:rPr>
          <w:rFonts w:ascii="Calibri" w:cs="Calibri" w:eastAsia="Calibri" w:hAnsi="Calibri"/>
          <w:sz w:val="22"/>
          <w:szCs w:val="22"/>
        </w:rPr>
        <w:t xml:space="preserve">   - Save State: pm2 save
</w:t>
      </w:r>
      <w:r>
        <w:rPr>
          <w:rFonts w:ascii="Calibri" w:cs="Calibri" w:eastAsia="Calibri" w:hAnsi="Calibri"/>
          <w:sz w:val="22"/>
          <w:szCs w:val="22"/>
        </w:rPr>
        <w:t xml:space="preserve">   - Server Monitoring: pm2 monit
</w:t>
      </w:r>
      <w:r>
        <w:rPr>
          <w:rFonts w:ascii="Calibri" w:cs="Calibri" w:eastAsia="Calibri" w:hAnsi="Calibri"/>
          <w:sz w:val="22"/>
          <w:szCs w:val="22"/>
        </w:rPr>
        <w:t xml:space="preserve">   - Log Inspection: pm2 logs esdros-sms</w:t>
      </w:r>
    </w:p>
    <w:p>
      <w:pPr>
        <w:pStyle w:val="Heading2"/>
        <w:spacing w:after="150" w:before="300"/>
      </w:pPr>
      <w:r>
        <w:rPr>
          <w:rFonts w:ascii="Calibri" w:cs="Calibri" w:eastAsia="Calibri" w:hAnsi="Calibri"/>
          <w:b/>
          <w:bCs/>
          <w:color w:val="009fe5"/>
          <w:sz w:val="24"/>
          <w:szCs w:val="24"/>
        </w:rPr>
        <w:t xml:space="preserve">6.4 Maintenance Cycles &amp; Neon DB Backups</w:t>
      </w:r>
    </w:p>
    <w:p>
      <w:pPr>
        <w:spacing w:after="120" w:before="100"/>
      </w:pPr>
      <w:r>
        <w:rPr>
          <w:rFonts w:ascii="Calibri" w:cs="Calibri" w:eastAsia="Calibri" w:hAnsi="Calibri"/>
          <w:sz w:val="22"/>
          <w:szCs w:val="22"/>
        </w:rPr>
        <w:t xml:space="preserve">To preserve institutional records, perform weekly database backups. Use Neon pg_dump tools to export data:
</w:t>
      </w:r>
      <w:r>
        <w:rPr>
          <w:rFonts w:ascii="Calibri" w:cs="Calibri" w:eastAsia="Calibri" w:hAnsi="Calibri"/>
          <w:sz w:val="22"/>
          <w:szCs w:val="22"/>
        </w:rPr>
        <w:t xml:space="preserve">   - Command: pg_dump -d [DATABASE_URL] -f esdros_db_backup.sql
</w:t>
      </w:r>
      <w:r>
        <w:rPr>
          <w:rFonts w:ascii="Calibri" w:cs="Calibri" w:eastAsia="Calibri" w:hAnsi="Calibri"/>
          <w:sz w:val="22"/>
          <w:szCs w:val="22"/>
        </w:rPr>
        <w:t xml:space="preserve">   - Verify connection limits: Maintain healthy pool parameters (e.g. pg_pool setups) to match Neon serverless scaling limits.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Esdros Seminary - Enterprise Architecture, Access Control, and Operations Manual</dc:title>
  <dc:creator>Esdros IT Division</dc:creator>
  <dc:description>Exceedingly detailed technical architecture, database schemas, security roles, CI/CD, and DevOps operations manual for Esdros Seminary.</dc:description>
  <cp:lastModifiedBy>Un-named</cp:lastModifiedBy>
  <cp:revision>1</cp:revision>
  <dcterms:created xsi:type="dcterms:W3CDTF">2026-05-21T16:56:54.594Z</dcterms:created>
  <dcterms:modified xsi:type="dcterms:W3CDTF">2026-05-21T16:56:54.595Z</dcterms:modified>
</cp:coreProperties>
</file>

<file path=docProps/custom.xml><?xml version="1.0" encoding="utf-8"?>
<Properties xmlns="http://schemas.openxmlformats.org/officeDocument/2006/custom-properties" xmlns:vt="http://schemas.openxmlformats.org/officeDocument/2006/docPropsVTypes"/>
</file>