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0E2A47"/>
          <w:sz w:val="28"/>
          <w:szCs w:val="28"/>
        </w:rPr>
        <w:t xml:space="preserve">ESDEROS EOTC THEOLOGICAL SEMINARY</w:t>
      </w:r>
    </w:p>
    <w:p>
      <w:pPr>
        <w:spacing w:before="400"/>
      </w:pPr>
    </w:p>
    <w:p>
      <w:pPr>
        <w:jc w:val="center"/>
      </w:pPr>
      <w:r>
        <w:rPr>
          <w:rFonts w:ascii="Calibri" w:cs="Calibri" w:eastAsia="Calibri" w:hAnsi="Calibri"/>
          <w:b/>
          <w:bCs/>
          <w:color w:val="009FE5"/>
          <w:sz w:val="40"/>
          <w:szCs w:val="40"/>
        </w:rPr>
        <w:t xml:space="preserve">Student Portal Guide</w:t>
      </w:r>
    </w:p>
    <w:p>
      <w:pPr>
        <w:spacing w:before="200"/>
      </w:pPr>
    </w:p>
    <w:p>
      <w:pPr>
        <w:jc w:val="center"/>
      </w:pPr>
      <w:r>
        <w:rPr>
          <w:rFonts w:ascii="Calibri" w:cs="Calibri" w:eastAsia="Calibri" w:hAnsi="Calibri"/>
          <w:i/>
          <w:iCs/>
          <w:color w:val="475569"/>
          <w:sz w:val="22"/>
          <w:szCs w:val="22"/>
        </w:rPr>
        <w:t xml:space="preserve">Authentication, Settings, Academic Enrollment, &amp; Financial Ledger Operations</w:t>
      </w:r>
    </w:p>
    <w:p>
      <w:pPr>
        <w:spacing w:before="1800"/>
      </w:pPr>
    </w:p>
    <w:p>
      <w:pPr>
        <w:jc w:val="center"/>
      </w:pPr>
      <w:r>
        <w:rPr>
          <w:rFonts w:ascii="Calibri" w:cs="Calibri" w:eastAsia="Calibri" w:hAnsi="Calibri"/>
          <w:b/>
          <w:bCs/>
          <w:color w:val="334155"/>
          <w:sz w:val="20"/>
          <w:szCs w:val="20"/>
        </w:rPr>
        <w:t xml:space="preserve">Official Operations User Guide</w:t>
      </w:r>
    </w:p>
    <w:p>
      <w:pPr>
        <w:jc w:val="center"/>
      </w:pPr>
      <w:r>
        <w:rPr>
          <w:rFonts w:ascii="Calibri" w:cs="Calibri" w:eastAsia="Calibri" w:hAnsi="Calibri"/>
          <w:color w:val="64748B"/>
          <w:sz w:val="18"/>
          <w:szCs w:val="18"/>
        </w:rPr>
        <w:t xml:space="preserve">Version 1.1.0 | Date: May 2026</w:t>
      </w:r>
    </w:p>
    <w:p>
      <w:pPr>
        <w:pageBreakBefore/>
      </w:pPr>
    </w:p>
    <w:p>
      <w:pPr>
        <w:pStyle w:val="Heading1"/>
        <w:spacing w:after="120" w:before="240"/>
      </w:pPr>
      <w:r>
        <w:t xml:space="preserve">1. Login Page Authentication &amp; Session Setup</w:t>
      </w:r>
    </w:p>
    <w:p>
      <w:pPr>
        <w:spacing w:after="240"/>
      </w:pPr>
      <w:r>
        <w:rPr>
          <w:rFonts w:ascii="Calibri" w:cs="Calibri" w:eastAsia="Calibri" w:hAnsi="Calibri"/>
          <w:sz w:val="22"/>
          <w:szCs w:val="22"/>
        </w:rPr>
        <w:t xml:space="preserve">To access your Student Portal, navigate to the Seminary's central authentication portal. Enter your registered email address and credentials in the designated inputs. If Two-Factor Email Authentication is globally or personally enabled, the system redirects you to the secure MFA passcode screen, prompting you for the 6-digit security key dispatched to your inbox. Once entered successfully, an active encrypted session is created.</w:t>
      </w:r>
    </w:p>
    <w:p>
      <w:pPr>
        <w:pStyle w:val="Heading1"/>
        <w:spacing w:after="120" w:before="240"/>
      </w:pPr>
      <w:r>
        <w:t xml:space="preserve">2. Personal Settings &amp; MFA Profile Console</w:t>
      </w:r>
    </w:p>
    <w:p>
      <w:pPr>
        <w:spacing w:after="120"/>
      </w:pPr>
      <w:r>
        <w:rPr>
          <w:rFonts w:ascii="Calibri" w:cs="Calibri" w:eastAsia="Calibri" w:hAnsi="Calibri"/>
          <w:sz w:val="22"/>
          <w:szCs w:val="22"/>
        </w:rPr>
        <w:t xml:space="preserve">The Profile Settings panel is located in the bottom left navigation sidebar. Inside this panel, you can maintain your core identity details and configure account security parameters:</w:t>
      </w:r>
    </w:p>
    <w:p>
      <w:pPr>
        <w:spacing w:after="240"/>
      </w:pPr>
      <w:r>
        <w:rPr>
          <w:rFonts w:ascii="Calibri" w:cs="Calibri" w:eastAsia="Calibri" w:hAnsi="Calibri"/>
          <w:sz w:val="22"/>
          <w:szCs w:val="22"/>
        </w:rPr>
        <w:t xml:space="preserve">• Profile Details: Re-verify your registered first name, last name, and administrative department cohort details.
• Password Modifications: Re-write your account credentials by entering your current password followed by your desired new secure password.
• Self-Service Email MFA Toggle: When enabled, a verification email is sent to your inbox upon logging in. Inputting this code is required to establish a valid student portal session.</w:t>
      </w:r>
    </w:p>
    <w:p>
      <w:pPr>
        <w:pStyle w:val="Heading1"/>
        <w:spacing w:after="120" w:before="240"/>
      </w:pPr>
      <w:r>
        <w:t xml:space="preserve">3. Academic Enrollment Engine</w:t>
      </w:r>
    </w:p>
    <w:p>
      <w:pPr>
        <w:spacing w:after="120"/>
      </w:pPr>
      <w:r>
        <w:rPr>
          <w:rFonts w:ascii="Calibri" w:cs="Calibri" w:eastAsia="Calibri" w:hAnsi="Calibri"/>
          <w:sz w:val="22"/>
          <w:szCs w:val="22"/>
        </w:rPr>
        <w:t xml:space="preserve">Your academic enrollment dashboard lists only active, non-legacy course offerings designated for your cohort program track (Theology or Geez Language). The board is cleanly structured into three reactive sections: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0E2A47"/>
            <w:tcMar>
              <w:top w:type="dxa" w:w="120"/>
              <w:left w:type="dxa" w:w="120"/>
              <w:bottom w:type="dxa" w:w="120"/>
              <w:right w:type="dxa" w:w="120"/>
            </w:tcMar>
          </w:tcPr>
          <w:p>
            <w:r>
              <w:rPr>
                <w:rFonts w:ascii="Calibri" w:cs="Calibri" w:eastAsia="Calibri" w:hAnsi="Calibri"/>
                <w:b/>
                <w:bCs/>
                <w:color w:val="FFFFFF"/>
                <w:sz w:val="20"/>
                <w:szCs w:val="20"/>
              </w:rPr>
              <w:t xml:space="preserve">Enrollment Status Category</w:t>
            </w:r>
          </w:p>
        </w:tc>
        <w:tc>
          <w:tcPr>
            <w:tcW w:type="pct" w:w="60%"/>
            <w:shd w:fill="0E2A47"/>
            <w:tcMar>
              <w:top w:type="dxa" w:w="120"/>
              <w:left w:type="dxa" w:w="120"/>
              <w:bottom w:type="dxa" w:w="120"/>
              <w:right w:type="dxa" w:w="120"/>
            </w:tcMar>
          </w:tcPr>
          <w:p>
            <w:r>
              <w:rPr>
                <w:rFonts w:ascii="Calibri" w:cs="Calibri" w:eastAsia="Calibri" w:hAnsi="Calibri"/>
                <w:b/>
                <w:bCs/>
                <w:color w:val="FFFFFF"/>
                <w:sz w:val="20"/>
                <w:szCs w:val="20"/>
              </w:rPr>
              <w:t xml:space="preserve">System Operations Description</w:t>
            </w:r>
          </w:p>
        </w:tc>
      </w:tr>
      <w:tr>
        <w:tc>
          <w:tcPr>
            <w:tcW w:type="pct" w:w="4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1. Available for Enrollment</w:t>
            </w:r>
          </w:p>
        </w:tc>
        <w:tc>
          <w:tcPr>
            <w:tcW w:type="pct" w:w="6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Lists all active courses scheduled for the current semester that you are eligible to register for. Click to submit a registration request to the administration.</w:t>
            </w:r>
          </w:p>
        </w:tc>
      </w:tr>
      <w:tr>
        <w:tc>
          <w:tcPr>
            <w:tcW w:type="pct" w:w="4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2. Enrolled Courses</w:t>
            </w:r>
          </w:p>
        </w:tc>
        <w:tc>
          <w:tcPr>
            <w:tcW w:type="pct" w:w="6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Displays all current subjects you are actively taking in the ongoing term, along with class details and instructor names.</w:t>
            </w:r>
          </w:p>
        </w:tc>
      </w:tr>
      <w:tr>
        <w:tc>
          <w:tcPr>
            <w:tcW w:type="pct" w:w="4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3. Completed Courses</w:t>
            </w:r>
          </w:p>
        </w:tc>
        <w:tc>
          <w:tcPr>
            <w:tcW w:type="pct" w:w="60%"/>
            <w:shd w:fill="F8FAFC"/>
            <w:tcMar>
              <w:top w:type="dxa" w:w="120"/>
              <w:left w:type="dxa" w:w="120"/>
              <w:bottom w:type="dxa" w:w="120"/>
              <w:right w:type="dxa" w:w="120"/>
            </w:tcMar>
          </w:tcPr>
          <w:p>
            <w:r>
              <w:rPr>
                <w:rFonts w:ascii="Calibri" w:cs="Calibri" w:eastAsia="Calibri" w:hAnsi="Calibri"/>
                <w:b w:val="false"/>
                <w:bCs w:val="false"/>
                <w:color w:val="334155"/>
                <w:sz w:val="20"/>
                <w:szCs w:val="20"/>
              </w:rPr>
              <w:t xml:space="preserve">Lists your historical database of completed courses, showing earned grades, credits, and GPA summaries.</w:t>
            </w:r>
          </w:p>
        </w:tc>
      </w:tr>
    </w:tbl>
    <w:p>
      <w:pPr>
        <w:spacing w:before="240"/>
      </w:pPr>
    </w:p>
    <w:p>
      <w:pPr>
        <w:pStyle w:val="Heading1"/>
        <w:spacing w:after="120" w:before="240"/>
      </w:pPr>
      <w:r>
        <w:t xml:space="preserve">4. Verified Transcript Requests</w:t>
      </w:r>
    </w:p>
    <w:p>
      <w:pPr>
        <w:spacing w:after="120"/>
      </w:pPr>
      <w:r>
        <w:rPr>
          <w:rFonts w:ascii="Calibri" w:cs="Calibri" w:eastAsia="Calibri" w:hAnsi="Calibri"/>
          <w:sz w:val="22"/>
          <w:szCs w:val="22"/>
        </w:rPr>
        <w:t xml:space="preserve">All unofficial transcript downloads have been removed from the portal, directing all transcript inquiries to verified official channels. To request your official transcripts:</w:t>
      </w:r>
    </w:p>
    <w:p>
      <w:pPr>
        <w:spacing w:after="240"/>
      </w:pPr>
      <w:r>
        <w:rPr>
          <w:rFonts w:ascii="Calibri" w:cs="Calibri" w:eastAsia="Calibri" w:hAnsi="Calibri"/>
          <w:sz w:val="22"/>
          <w:szCs w:val="22"/>
        </w:rPr>
        <w:t xml:space="preserve">• Navigate to the Request Official Transcript form.
• Input the name of the target university, organization, or board.
• Provide a verified delivery physical shipping address.
• Submit the request. Administrators will receive, verify, print, seal, and ship the official transcript directly.</w:t>
      </w:r>
    </w:p>
    <w:p>
      <w:pPr>
        <w:pStyle w:val="Heading1"/>
        <w:spacing w:after="120" w:before="240"/>
      </w:pPr>
      <w:r>
        <w:t xml:space="preserve">5. Tuition &amp; Invoices Ledger</w:t>
      </w:r>
    </w:p>
    <w:p>
      <w:pPr>
        <w:spacing w:after="240"/>
      </w:pPr>
      <w:r>
        <w:rPr>
          <w:rFonts w:ascii="Calibri" w:cs="Calibri" w:eastAsia="Calibri" w:hAnsi="Calibri"/>
          <w:sz w:val="22"/>
          <w:szCs w:val="22"/>
        </w:rPr>
        <w:t xml:space="preserve">Under the Tuition tab, you can view your personal billing ledger. This panel details all issued invoices, recorded payments, and outstanding balances. You can review individual itemized receipt breakdowns and track payment approvals in real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2026-05-26T22:53:20.463Z</dcterms:created>
  <dcterms:modified xsi:type="dcterms:W3CDTF">2026-05-26T22:53:20.463Z</dcterms:modified>
</cp:coreProperties>
</file>

<file path=docProps/custom.xml><?xml version="1.0" encoding="utf-8"?>
<Properties xmlns="http://schemas.openxmlformats.org/officeDocument/2006/custom-properties" xmlns:vt="http://schemas.openxmlformats.org/officeDocument/2006/docPropsVTypes"/>
</file>