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E2A47"/>
          <w:sz w:val="28"/>
          <w:szCs w:val="28"/>
        </w:rPr>
        <w:t xml:space="preserve">ESDEROS EOTC THEOLOGICAL SEMINARY</w:t>
      </w:r>
    </w:p>
    <w:p>
      <w:pPr>
        <w:spacing w:before="400"/>
      </w:pPr>
    </w:p>
    <w:p>
      <w:pPr>
        <w:jc w:val="center"/>
      </w:pPr>
      <w:r>
        <w:rPr>
          <w:rFonts w:ascii="Calibri" w:cs="Calibri" w:eastAsia="Calibri" w:hAnsi="Calibri"/>
          <w:b/>
          <w:bCs/>
          <w:color w:val="009FE5"/>
          <w:sz w:val="40"/>
          <w:szCs w:val="40"/>
        </w:rPr>
        <w:t xml:space="preserve">Admin Portal Guide</w:t>
      </w:r>
    </w:p>
    <w:p>
      <w:pPr>
        <w:spacing w:before="200"/>
      </w:pPr>
    </w:p>
    <w:p>
      <w:pPr>
        <w:jc w:val="center"/>
      </w:pPr>
      <w:r>
        <w:rPr>
          <w:rFonts w:ascii="Calibri" w:cs="Calibri" w:eastAsia="Calibri" w:hAnsi="Calibri"/>
          <w:color w:val="475569"/>
          <w:sz w:val="22"/>
          <w:szCs w:val="22"/>
        </w:rPr>
        <w:t xml:space="preserve">Security Governance, Lock Modals, CRM, &amp; Global Settings</w:t>
      </w:r>
    </w:p>
    <w:p>
      <w:pPr>
        <w:spacing w:before="1800"/>
      </w:pPr>
    </w:p>
    <w:p>
      <w:pPr>
        <w:jc w:val="center"/>
      </w:pPr>
      <w:r>
        <w:rPr>
          <w:rFonts w:ascii="Calibri" w:cs="Calibri" w:eastAsia="Calibri" w:hAnsi="Calibri"/>
          <w:b/>
          <w:bCs/>
          <w:color w:val="334155"/>
          <w:sz w:val="20"/>
          <w:szCs w:val="20"/>
        </w:rPr>
        <w:t xml:space="preserve">Official Operations User Guide</w:t>
      </w:r>
    </w:p>
    <w:p>
      <w:pPr>
        <w:jc w:val="center"/>
      </w:pPr>
      <w:r>
        <w:rPr>
          <w:rFonts w:ascii="Calibri" w:cs="Calibri" w:eastAsia="Calibri" w:hAnsi="Calibri"/>
          <w:color w:val="64748B"/>
          <w:sz w:val="18"/>
          <w:szCs w:val="18"/>
        </w:rPr>
        <w:t xml:space="preserve">Version 1.1.0 | Date: May 2026</w:t>
      </w:r>
    </w:p>
    <w:p>
      <w:pPr>
        <w:pageBreakBefore/>
      </w:pPr>
    </w:p>
    <w:p>
      <w:pPr>
        <w:pStyle w:val="Heading1"/>
        <w:spacing w:after="120" w:before="240"/>
      </w:pPr>
      <w:r>
        <w:t xml:space="preserve">1. Administrator Secure Login &amp; Access Control</w:t>
      </w:r>
    </w:p>
    <w:p>
      <w:pPr>
        <w:spacing w:after="240"/>
      </w:pPr>
      <w:r>
        <w:rPr>
          <w:rFonts w:ascii="Calibri" w:cs="Calibri" w:eastAsia="Calibri" w:hAnsi="Calibri"/>
          <w:sz w:val="22"/>
          <w:szCs w:val="22"/>
        </w:rPr>
        <w:t xml:space="preserve">Access to the Admin Portal is strictly restricted to authorized Super Admins and Standard Admins. Navigate to the administrator login screen, enter your email and password, and complete the mandatory two-factor email verification code challenge to establish a secure admin session.</w:t>
      </w:r>
    </w:p>
    <w:p>
      <w:pPr>
        <w:pStyle w:val="Heading1"/>
        <w:spacing w:after="120" w:before="240"/>
      </w:pPr>
      <w:r>
        <w:t xml:space="preserve">2. Global Settings Workspace &amp; MFA Enforcement</w:t>
      </w:r>
    </w:p>
    <w:p>
      <w:pPr>
        <w:spacing w:after="120"/>
      </w:pPr>
      <w:r>
        <w:rPr>
          <w:rFonts w:ascii="Calibri" w:cs="Calibri" w:eastAsia="Calibri" w:hAnsi="Calibri"/>
          <w:sz w:val="22"/>
          <w:szCs w:val="22"/>
        </w:rPr>
        <w:t xml:space="preserve">The Admin Settings portal provides critical institutional controls for configuring portal-wide systems and managing security parameters:</w:t>
      </w:r>
    </w:p>
    <w:p>
      <w:pPr>
        <w:spacing w:after="240"/>
      </w:pPr>
      <w:r>
        <w:rPr>
          <w:rFonts w:ascii="Calibri" w:cs="Calibri" w:eastAsia="Calibri" w:hAnsi="Calibri"/>
          <w:sz w:val="22"/>
          <w:szCs w:val="22"/>
        </w:rPr>
        <w:t xml:space="preserve">• Global MFA Security Switch: When enabled, all active student, faculty, and administrator logins are globally required to complete Two-Factor Email Verification code checks. This ensures strict institutional data privacy.
• Seminary System Metrics: Configure system settings, active enrollment periods, admissions windows, and register departments.
• Security Logs: Track administrator sign-ins, audit credential updates, and monitor enrollment approval records.</w:t>
      </w:r>
    </w:p>
    <w:p>
      <w:pPr>
        <w:pStyle w:val="Heading1"/>
        <w:spacing w:after="120" w:before="240"/>
      </w:pPr>
      <w:r>
        <w:t xml:space="preserve">3. Administrative Overview &amp; Term Security Controls</w:t>
      </w:r>
    </w:p>
    <w:p>
      <w:pPr>
        <w:spacing w:after="120"/>
      </w:pPr>
      <w:r>
        <w:rPr>
          <w:rFonts w:ascii="Calibri" w:cs="Calibri" w:eastAsia="Calibri" w:hAnsi="Calibri"/>
          <w:sz w:val="22"/>
          <w:szCs w:val="22"/>
        </w:rPr>
        <w:t xml:space="preserve">The Admin Portal overview dashboard provides key metrics on students, faculty, and departments, alongside term controls:</w:t>
      </w:r>
    </w:p>
    <w:p>
      <w:pPr>
        <w:spacing w:after="80" w:before="120"/>
      </w:pPr>
      <w:r>
        <w:rPr>
          <w:rFonts w:ascii="Calibri" w:cs="Calibri" w:eastAsia="Calibri" w:hAnsi="Calibri"/>
          <w:b/>
          <w:bCs/>
          <w:color w:val="0E2A47"/>
          <w:sz w:val="22"/>
          <w:szCs w:val="22"/>
        </w:rPr>
        <w:t xml:space="preserve">🔒 Term Locking Mechanics:</w:t>
      </w:r>
    </w:p>
    <w:p>
      <w:pPr>
        <w:spacing w:after="240"/>
      </w:pPr>
      <w:r>
        <w:rPr>
          <w:rFonts w:ascii="Calibri" w:cs="Calibri" w:eastAsia="Calibri" w:hAnsi="Calibri"/>
          <w:sz w:val="22"/>
          <w:szCs w:val="22"/>
        </w:rPr>
        <w:t xml:space="preserve">Click 'Lock Pending Semester Terms' to completely close and protect completed academic records from edits, securing student GPA logs and grade registries.</w:t>
      </w:r>
    </w:p>
    <w:p>
      <w:pPr>
        <w:pStyle w:val="Heading1"/>
        <w:spacing w:after="120" w:before="240"/>
      </w:pPr>
      <w:r>
        <w:t xml:space="preserve">4. Admissions CRM &amp; Sequential ID Pipelines</w:t>
      </w:r>
    </w:p>
    <w:p>
      <w:pPr>
        <w:spacing w:after="240"/>
      </w:pPr>
      <w:r>
        <w:rPr>
          <w:rFonts w:ascii="Calibri" w:cs="Calibri" w:eastAsia="Calibri" w:hAnsi="Calibri"/>
          <w:sz w:val="22"/>
          <w:szCs w:val="22"/>
        </w:rPr>
        <w:t xml:space="preserve">The Admissions portal manages applicant pipelines. Admins can review uploaded academic transcripts, verify files, and approve or reject submissions. Approved applicants are automatically assigned department-linked sequential IDs (e.g. THEO-0001, SEML-0002) for structured cohort organization.</w:t>
      </w:r>
    </w:p>
    <w:p>
      <w:pPr>
        <w:pStyle w:val="Heading1"/>
        <w:spacing w:after="120" w:before="240"/>
      </w:pPr>
      <w:r>
        <w:t xml:space="preserve">5. Student Cohort Imports &amp; Alumni Migrations</w:t>
      </w:r>
    </w:p>
    <w:p>
      <w:pPr>
        <w:spacing w:after="240"/>
      </w:pPr>
      <w:r>
        <w:rPr>
          <w:rFonts w:ascii="Calibri" w:cs="Calibri" w:eastAsia="Calibri" w:hAnsi="Calibri"/>
          <w:sz w:val="22"/>
          <w:szCs w:val="22"/>
        </w:rPr>
        <w:t xml:space="preserve">• CSV Batch Student Import: Rapidly import active student cohorts using CSV templates.
• Alumni Database Management: Track graduated student cohorts and log official transcript requests.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2026-05-26T20:57:10.492Z</dcterms:created>
  <dcterms:modified xsi:type="dcterms:W3CDTF">2026-05-26T20:57:10.492Z</dcterms:modified>
</cp:coreProperties>
</file>

<file path=docProps/custom.xml><?xml version="1.0" encoding="utf-8"?>
<Properties xmlns="http://schemas.openxmlformats.org/officeDocument/2006/custom-properties" xmlns:vt="http://schemas.openxmlformats.org/officeDocument/2006/docPropsVTypes"/>
</file>