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rFonts w:ascii="Calibri" w:cs="Calibri" w:eastAsia="Calibri" w:hAnsi="Calibri"/>
          <w:b/>
          <w:bCs/>
          <w:color w:val="0E2A47"/>
          <w:sz w:val="28"/>
          <w:szCs w:val="28"/>
        </w:rPr>
        <w:t xml:space="preserve">ESDEROS EOTC THEOLOGICAL SEMINARY</w:t>
      </w:r>
    </w:p>
    <w:p>
      <w:pPr>
        <w:spacing w:before="400"/>
      </w:pPr>
    </w:p>
    <w:p>
      <w:pPr>
        <w:jc w:val="center"/>
      </w:pPr>
      <w:r>
        <w:rPr>
          <w:rFonts w:ascii="Calibri" w:cs="Calibri" w:eastAsia="Calibri" w:hAnsi="Calibri"/>
          <w:b/>
          <w:bCs/>
          <w:color w:val="009FE5"/>
          <w:sz w:val="40"/>
          <w:szCs w:val="40"/>
        </w:rPr>
        <w:t xml:space="preserve">Faculty Portal Guide</w:t>
      </w:r>
    </w:p>
    <w:p>
      <w:pPr>
        <w:spacing w:before="200"/>
      </w:pPr>
    </w:p>
    <w:p>
      <w:pPr>
        <w:jc w:val="center"/>
      </w:pPr>
      <w:r>
        <w:rPr>
          <w:rFonts w:ascii="Calibri" w:cs="Calibri" w:eastAsia="Calibri" w:hAnsi="Calibri"/>
          <w:color w:val="475569"/>
          <w:sz w:val="22"/>
          <w:szCs w:val="22"/>
        </w:rPr>
        <w:t xml:space="preserve">Login, Settings, Gradebooks, &amp; Attendance Tracking with Lock Modals</w:t>
      </w:r>
    </w:p>
    <w:p>
      <w:pPr>
        <w:spacing w:before="1800"/>
      </w:pPr>
    </w:p>
    <w:p>
      <w:pPr>
        <w:jc w:val="center"/>
      </w:pPr>
      <w:r>
        <w:rPr>
          <w:rFonts w:ascii="Calibri" w:cs="Calibri" w:eastAsia="Calibri" w:hAnsi="Calibri"/>
          <w:b/>
          <w:bCs/>
          <w:color w:val="334155"/>
          <w:sz w:val="20"/>
          <w:szCs w:val="20"/>
        </w:rPr>
        <w:t xml:space="preserve">Official Operations User Guide</w:t>
      </w:r>
    </w:p>
    <w:p>
      <w:pPr>
        <w:jc w:val="center"/>
      </w:pPr>
      <w:r>
        <w:rPr>
          <w:rFonts w:ascii="Calibri" w:cs="Calibri" w:eastAsia="Calibri" w:hAnsi="Calibri"/>
          <w:color w:val="64748B"/>
          <w:sz w:val="18"/>
          <w:szCs w:val="18"/>
        </w:rPr>
        <w:t xml:space="preserve">Version 1.1.0 | Date: May 2026</w:t>
      </w:r>
    </w:p>
    <w:p>
      <w:pPr>
        <w:pageBreakBefore/>
      </w:pPr>
    </w:p>
    <w:p>
      <w:pPr>
        <w:pStyle w:val="Heading1"/>
        <w:spacing w:after="120" w:before="240"/>
      </w:pPr>
      <w:r>
        <w:t xml:space="preserve">1. Login Page Authentication &amp; Session Setup</w:t>
      </w:r>
    </w:p>
    <w:p>
      <w:pPr>
        <w:spacing w:after="240"/>
      </w:pPr>
      <w:r>
        <w:rPr>
          <w:rFonts w:ascii="Calibri" w:cs="Calibri" w:eastAsia="Calibri" w:hAnsi="Calibri"/>
          <w:sz w:val="22"/>
          <w:szCs w:val="22"/>
        </w:rPr>
        <w:t xml:space="preserve">To log into the Faculty Portal, navigate to the central login screen and enter your faculty email address and password. If global security is activated, you will be prompted to enter the 6-digit MFA passcode sent to your registered email inbox to authorize access.</w:t>
      </w:r>
    </w:p>
    <w:p>
      <w:pPr>
        <w:pStyle w:val="Heading1"/>
        <w:spacing w:after="120" w:before="240"/>
      </w:pPr>
      <w:r>
        <w:t xml:space="preserve">2. Personal Settings &amp; Security Profile Console</w:t>
      </w:r>
    </w:p>
    <w:p>
      <w:pPr>
        <w:spacing w:after="120"/>
      </w:pPr>
      <w:r>
        <w:rPr>
          <w:rFonts w:ascii="Calibri" w:cs="Calibri" w:eastAsia="Calibri" w:hAnsi="Calibri"/>
          <w:sz w:val="22"/>
          <w:szCs w:val="22"/>
        </w:rPr>
        <w:t xml:space="preserve">The Settings page lets you update your instructor credentials and configure additional security locks:</w:t>
      </w:r>
    </w:p>
    <w:p>
      <w:pPr>
        <w:spacing w:after="240"/>
      </w:pPr>
      <w:r>
        <w:rPr>
          <w:rFonts w:ascii="Calibri" w:cs="Calibri" w:eastAsia="Calibri" w:hAnsi="Calibri"/>
          <w:sz w:val="22"/>
          <w:szCs w:val="22"/>
        </w:rPr>
        <w:t xml:space="preserve">• Profile Updates: Review registered academic ranks, titles, and assigned departments.
• Password Revisions: Update your credentials securely under Settings.
• Self-Service Email MFA Toggle: Toggle personal two-factor verification code requirements on login to secure your grading ledgers.</w:t>
      </w:r>
    </w:p>
    <w:p>
      <w:pPr>
        <w:pStyle w:val="Heading1"/>
        <w:spacing w:after="120" w:before="240"/>
      </w:pPr>
      <w:r>
        <w:t xml:space="preserve">3. Interactive Gradebook &amp; Spreadsheet Integration</w:t>
      </w:r>
    </w:p>
    <w:p>
      <w:pPr>
        <w:spacing w:after="120"/>
      </w:pPr>
      <w:r>
        <w:rPr>
          <w:rFonts w:ascii="Calibri" w:cs="Calibri" w:eastAsia="Calibri" w:hAnsi="Calibri"/>
          <w:sz w:val="22"/>
          <w:szCs w:val="22"/>
        </w:rPr>
        <w:t xml:space="preserve">The Faculty Portal provides a highly optimized grade ledger that supports both manual point entries and rapid offline Excel-based grade sheet editing: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E2A47"/>
            <w:tcMar>
              <w:top w:type="dxa" w:w="120"/>
              <w:left w:type="dxa" w:w="120"/>
              <w:bottom w:type="dxa" w:w="120"/>
              <w:right w:type="dxa" w:w="120"/>
            </w:tcMar>
          </w:tcPr>
          <w:p>
            <w:r>
              <w:rPr>
                <w:rFonts w:ascii="Calibri" w:cs="Calibri" w:eastAsia="Calibri" w:hAnsi="Calibri"/>
                <w:b/>
                <w:bCs/>
                <w:color w:val="FFFFFF"/>
                <w:sz w:val="20"/>
                <w:szCs w:val="20"/>
              </w:rPr>
              <w:t xml:space="preserve">Workflow Phase</w:t>
            </w:r>
          </w:p>
        </w:tc>
        <w:tc>
          <w:tcPr>
            <w:tcW w:type="pct" w:w="70%"/>
            <w:shd w:fill="0E2A47"/>
            <w:tcMar>
              <w:top w:type="dxa" w:w="120"/>
              <w:left w:type="dxa" w:w="120"/>
              <w:bottom w:type="dxa" w:w="120"/>
              <w:right w:type="dxa" w:w="120"/>
            </w:tcMar>
          </w:tcPr>
          <w:p>
            <w:r>
              <w:rPr>
                <w:rFonts w:ascii="Calibri" w:cs="Calibri" w:eastAsia="Calibri" w:hAnsi="Calibri"/>
                <w:b/>
                <w:bCs/>
                <w:color w:val="FFFFFF"/>
                <w:sz w:val="20"/>
                <w:szCs w:val="20"/>
              </w:rPr>
              <w:t xml:space="preserve">Step-by-Step Operations Checklist</w:t>
            </w:r>
          </w:p>
        </w:tc>
      </w:tr>
      <w:tr>
        <w:tc>
          <w:tcPr>
            <w:tcW w:type="pct" w:w="30%"/>
            <w:shd w:fill="F8FAFC"/>
            <w:tcMar>
              <w:top w:type="dxa" w:w="120"/>
              <w:left w:type="dxa" w:w="120"/>
              <w:bottom w:type="dxa" w:w="120"/>
              <w:right w:type="dxa" w:w="120"/>
            </w:tcMar>
          </w:tcPr>
          <w:p>
            <w:r>
              <w:rPr>
                <w:rFonts w:ascii="Calibri" w:cs="Calibri" w:eastAsia="Calibri" w:hAnsi="Calibri"/>
                <w:b w:val="false"/>
                <w:bCs w:val="false"/>
                <w:color w:val="334155"/>
                <w:sz w:val="20"/>
                <w:szCs w:val="20"/>
              </w:rPr>
              <w:t xml:space="preserve">1. Export Template</w:t>
            </w:r>
          </w:p>
        </w:tc>
        <w:tc>
          <w:tcPr>
            <w:tcW w:type="pct" w:w="70%"/>
            <w:shd w:fill="F8FAFC"/>
            <w:tcMar>
              <w:top w:type="dxa" w:w="120"/>
              <w:left w:type="dxa" w:w="120"/>
              <w:bottom w:type="dxa" w:w="120"/>
              <w:right w:type="dxa" w:w="120"/>
            </w:tcMar>
          </w:tcPr>
          <w:p>
            <w:r>
              <w:rPr>
                <w:rFonts w:ascii="Calibri" w:cs="Calibri" w:eastAsia="Calibri" w:hAnsi="Calibri"/>
                <w:b w:val="false"/>
                <w:bCs w:val="false"/>
                <w:color w:val="334155"/>
                <w:sz w:val="20"/>
                <w:szCs w:val="20"/>
              </w:rPr>
              <w:t xml:space="preserve">Click 'Export Grade Template' inside the Gradebook tab. The system exports a dynamic pre-populated Excel worksheet containing enrolled student names, system IDs, and evaluation headers.</w:t>
            </w:r>
          </w:p>
        </w:tc>
      </w:tr>
      <w:tr>
        <w:tc>
          <w:tcPr>
            <w:tcW w:type="pct" w:w="30%"/>
            <w:shd w:fill="F8FAFC"/>
            <w:tcMar>
              <w:top w:type="dxa" w:w="120"/>
              <w:left w:type="dxa" w:w="120"/>
              <w:bottom w:type="dxa" w:w="120"/>
              <w:right w:type="dxa" w:w="120"/>
            </w:tcMar>
          </w:tcPr>
          <w:p>
            <w:r>
              <w:rPr>
                <w:rFonts w:ascii="Calibri" w:cs="Calibri" w:eastAsia="Calibri" w:hAnsi="Calibri"/>
                <w:b w:val="false"/>
                <w:bCs w:val="false"/>
                <w:color w:val="334155"/>
                <w:sz w:val="20"/>
                <w:szCs w:val="20"/>
              </w:rPr>
              <w:t xml:space="preserve">2. Offline Grading</w:t>
            </w:r>
          </w:p>
        </w:tc>
        <w:tc>
          <w:tcPr>
            <w:tcW w:type="pct" w:w="70%"/>
            <w:shd w:fill="F8FAFC"/>
            <w:tcMar>
              <w:top w:type="dxa" w:w="120"/>
              <w:left w:type="dxa" w:w="120"/>
              <w:bottom w:type="dxa" w:w="120"/>
              <w:right w:type="dxa" w:w="120"/>
            </w:tcMar>
          </w:tcPr>
          <w:p>
            <w:r>
              <w:rPr>
                <w:rFonts w:ascii="Calibri" w:cs="Calibri" w:eastAsia="Calibri" w:hAnsi="Calibri"/>
                <w:b w:val="false"/>
                <w:bCs w:val="false"/>
                <w:color w:val="334155"/>
                <w:sz w:val="20"/>
                <w:szCs w:val="20"/>
              </w:rPr>
              <w:t xml:space="preserve">Open the exported sheet in Microsoft Excel, Google Sheets, or Apple Numbers. Enter numeric point values for quizzes, final exams, or homework assignments under the designated columns.</w:t>
            </w:r>
          </w:p>
        </w:tc>
      </w:tr>
      <w:tr>
        <w:tc>
          <w:tcPr>
            <w:tcW w:type="pct" w:w="30%"/>
            <w:shd w:fill="F8FAFC"/>
            <w:tcMar>
              <w:top w:type="dxa" w:w="120"/>
              <w:left w:type="dxa" w:w="120"/>
              <w:bottom w:type="dxa" w:w="120"/>
              <w:right w:type="dxa" w:w="120"/>
            </w:tcMar>
          </w:tcPr>
          <w:p>
            <w:r>
              <w:rPr>
                <w:rFonts w:ascii="Calibri" w:cs="Calibri" w:eastAsia="Calibri" w:hAnsi="Calibri"/>
                <w:b w:val="false"/>
                <w:bCs w:val="false"/>
                <w:color w:val="334155"/>
                <w:sz w:val="20"/>
                <w:szCs w:val="20"/>
              </w:rPr>
              <w:t xml:space="preserve">3. Import Grades</w:t>
            </w:r>
          </w:p>
        </w:tc>
        <w:tc>
          <w:tcPr>
            <w:tcW w:type="pct" w:w="70%"/>
            <w:shd w:fill="F8FAFC"/>
            <w:tcMar>
              <w:top w:type="dxa" w:w="120"/>
              <w:left w:type="dxa" w:w="120"/>
              <w:bottom w:type="dxa" w:w="120"/>
              <w:right w:type="dxa" w:w="120"/>
            </w:tcMar>
          </w:tcPr>
          <w:p>
            <w:r>
              <w:rPr>
                <w:rFonts w:ascii="Calibri" w:cs="Calibri" w:eastAsia="Calibri" w:hAnsi="Calibri"/>
                <w:b w:val="false"/>
                <w:bCs w:val="false"/>
                <w:color w:val="334155"/>
                <w:sz w:val="20"/>
                <w:szCs w:val="20"/>
              </w:rPr>
              <w:t xml:space="preserve">Return to the portal gradebook and upload your filled Excel sheet. The portal reads the data and auto-populates the online matrix with no manual transcription needed.</w:t>
            </w:r>
          </w:p>
        </w:tc>
      </w:tr>
      <w:tr>
        <w:tc>
          <w:tcPr>
            <w:tcW w:type="pct" w:w="30%"/>
            <w:shd w:fill="F8FAFC"/>
            <w:tcMar>
              <w:top w:type="dxa" w:w="120"/>
              <w:left w:type="dxa" w:w="120"/>
              <w:bottom w:type="dxa" w:w="120"/>
              <w:right w:type="dxa" w:w="120"/>
            </w:tcMar>
          </w:tcPr>
          <w:p>
            <w:r>
              <w:rPr>
                <w:rFonts w:ascii="Calibri" w:cs="Calibri" w:eastAsia="Calibri" w:hAnsi="Calibri"/>
                <w:b w:val="false"/>
                <w:bCs w:val="false"/>
                <w:color w:val="334155"/>
                <w:sz w:val="20"/>
                <w:szCs w:val="20"/>
              </w:rPr>
              <w:t xml:space="preserve">4. Bulk Save</w:t>
            </w:r>
          </w:p>
        </w:tc>
        <w:tc>
          <w:tcPr>
            <w:tcW w:type="pct" w:w="70%"/>
            <w:shd w:fill="F8FAFC"/>
            <w:tcMar>
              <w:top w:type="dxa" w:w="120"/>
              <w:left w:type="dxa" w:w="120"/>
              <w:bottom w:type="dxa" w:w="120"/>
              <w:right w:type="dxa" w:w="120"/>
            </w:tcMar>
          </w:tcPr>
          <w:p>
            <w:r>
              <w:rPr>
                <w:rFonts w:ascii="Calibri" w:cs="Calibri" w:eastAsia="Calibri" w:hAnsi="Calibri"/>
                <w:b w:val="false"/>
                <w:bCs w:val="false"/>
                <w:color w:val="334155"/>
                <w:sz w:val="20"/>
                <w:szCs w:val="20"/>
              </w:rPr>
              <w:t xml:space="preserve">A highlighted 'Bulk Save' button appears upon successful import. Click to persist all graded records to the Postgres database instantly.</w:t>
            </w:r>
          </w:p>
        </w:tc>
      </w:tr>
    </w:tbl>
    <w:p>
      <w:pPr>
        <w:pStyle w:val="Heading1"/>
        <w:spacing w:after="120" w:before="240"/>
      </w:pPr>
      <w:r>
        <w:t xml:space="preserve">4. Attendance Roster &amp; Smart Locking Mechanics</w:t>
      </w:r>
    </w:p>
    <w:p>
      <w:pPr>
        <w:spacing w:after="120"/>
      </w:pPr>
      <w:r>
        <w:rPr>
          <w:rFonts w:ascii="Calibri" w:cs="Calibri" w:eastAsia="Calibri" w:hAnsi="Calibri"/>
          <w:sz w:val="22"/>
          <w:szCs w:val="22"/>
        </w:rPr>
        <w:t xml:space="preserve">The daily attendance tracker enables rapid daily roster management with built-in safety controls to prevent accidental overwrites:</w:t>
      </w:r>
    </w:p>
    <w:p>
      <w:pPr>
        <w:spacing w:after="240"/>
      </w:pPr>
      <w:r>
        <w:rPr>
          <w:rFonts w:ascii="Calibri" w:cs="Calibri" w:eastAsia="Calibri" w:hAnsi="Calibri"/>
          <w:sz w:val="22"/>
          <w:szCs w:val="22"/>
        </w:rPr>
        <w:t xml:space="preserve">• Daily Record Logging: Choose the course section and date, then mark status toggles (Present, Absent, Excused) and add custom session remarks.
• Automatic Record Locking: If attendance has already been recorded for the selected date, the roster inputs are locked, and a notice banner appears to protect entries.
• Modifying Records: Click the '🔓 Unlock to Modify' override trigger inside either the alert banner or the header to lift the locks, edit entries, and submit updates.</w:t>
      </w:r>
    </w:p>
    <w:p>
      <w:pPr>
        <w:pStyle w:val="Heading1"/>
        <w:spacing w:after="120" w:before="240"/>
      </w:pPr>
      <w:r>
        <w:t xml:space="preserve">5. Attendance Summary Ledger</w:t>
      </w:r>
    </w:p>
    <w:p>
      <w:pPr>
        <w:spacing w:after="240"/>
      </w:pPr>
      <w:r>
        <w:rPr>
          <w:rFonts w:ascii="Calibri" w:cs="Calibri" w:eastAsia="Calibri" w:hAnsi="Calibri"/>
          <w:sz w:val="22"/>
          <w:szCs w:val="22"/>
        </w:rPr>
        <w:t xml:space="preserve">The Attendance Summary tab compiles active student statistics for that section. You can instantly audit the total logged sessions, individual presence/absence logs, and overall attendance rate percentages shown with color-coded progress health indicators.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2026-05-26T20:57:10.454Z</dcterms:created>
  <dcterms:modified xsi:type="dcterms:W3CDTF">2026-05-26T20:57:10.454Z</dcterms:modified>
</cp:coreProperties>
</file>

<file path=docProps/custom.xml><?xml version="1.0" encoding="utf-8"?>
<Properties xmlns="http://schemas.openxmlformats.org/officeDocument/2006/custom-properties" xmlns:vt="http://schemas.openxmlformats.org/officeDocument/2006/docPropsVTypes"/>
</file>