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</w:p>
    <w:p>
      <w:pPr>
        <w:jc w:val="center"/>
      </w:pPr>
      <w:r>
        <w:rPr>
          <w:rFonts w:ascii="Calibri" w:cs="Calibri" w:eastAsia="Calibri" w:hAnsi="Calibri"/>
          <w:b/>
          <w:bCs/>
          <w:color w:val="0E2A47"/>
          <w:sz w:val="28"/>
          <w:szCs w:val="28"/>
        </w:rPr>
        <w:t xml:space="preserve">ESDEROS EOTC THEOLOGICAL SEMINARY</w:t>
      </w:r>
    </w:p>
    <w:p>
      <w:pPr>
        <w:spacing w:before="400"/>
      </w:pPr>
    </w:p>
    <w:p>
      <w:pPr>
        <w:jc w:val="center"/>
      </w:pPr>
      <w:r>
        <w:rPr>
          <w:rFonts w:ascii="Calibri" w:cs="Calibri" w:eastAsia="Calibri" w:hAnsi="Calibri"/>
          <w:b/>
          <w:bCs/>
          <w:color w:val="009FE5"/>
          <w:sz w:val="40"/>
          <w:szCs w:val="40"/>
        </w:rPr>
        <w:t xml:space="preserve">Admin Portal Guide</w:t>
      </w:r>
    </w:p>
    <w:p>
      <w:pPr>
        <w:spacing w:before="200"/>
      </w:pPr>
    </w:p>
    <w:p>
      <w:pPr>
        <w:jc w:val="center"/>
      </w:pPr>
      <w:r>
        <w:rPr>
          <w:rFonts w:ascii="Calibri" w:cs="Calibri" w:eastAsia="Calibri" w:hAnsi="Calibri"/>
          <w:color w:val="475569"/>
          <w:sz w:val="22"/>
          <w:szCs w:val="22"/>
        </w:rPr>
        <w:t xml:space="preserve">Global Security Settings, Term Locking, &amp; Admissions Pipeline CRM</w:t>
      </w:r>
    </w:p>
    <w:p>
      <w:pPr>
        <w:spacing w:before="1800"/>
      </w:pPr>
    </w:p>
    <w:p>
      <w:pPr>
        <w:jc w:val="center"/>
      </w:pPr>
      <w:r>
        <w:rPr>
          <w:rFonts w:ascii="Calibri" w:cs="Calibri" w:eastAsia="Calibri" w:hAnsi="Calibri"/>
          <w:b/>
          <w:bCs/>
          <w:color w:val="334155"/>
          <w:sz w:val="20"/>
          <w:szCs w:val="20"/>
        </w:rPr>
        <w:t xml:space="preserve">Official Operations User Guide</w:t>
      </w:r>
    </w:p>
    <w:p>
      <w:pPr>
        <w:jc w:val="center"/>
      </w:pPr>
      <w:r>
        <w:rPr>
          <w:rFonts w:ascii="Calibri" w:cs="Calibri" w:eastAsia="Calibri" w:hAnsi="Calibri"/>
          <w:color w:val="64748B"/>
          <w:sz w:val="18"/>
          <w:szCs w:val="18"/>
        </w:rPr>
        <w:t xml:space="preserve">Version 1.0.0 | Date: May 2026</w:t>
      </w:r>
    </w:p>
    <w:p>
      <w:pPr>
        <w:pageBreakBefore/>
      </w:pPr>
    </w:p>
    <w:p>
      <w:pPr>
        <w:pStyle w:val="Heading1"/>
        <w:spacing w:after="120" w:before="240"/>
      </w:pPr>
      <w:r>
        <w:t xml:space="preserve">1. Administrative Overview &amp; Term Security Controls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The Admin Portal overview dashboard provides key metrics on students, faculty, and departments, alongside term controls: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0E2A47"/>
          <w:sz w:val="22"/>
          <w:szCs w:val="22"/>
        </w:rPr>
        <w:t xml:space="preserve">🔒 Term Locking Mechanics:</w:t>
      </w:r>
    </w:p>
    <w:p>
      <w:pPr>
        <w:spacing w:after="240"/>
      </w:pPr>
      <w:r>
        <w:rPr>
          <w:rFonts w:ascii="Calibri" w:cs="Calibri" w:eastAsia="Calibri" w:hAnsi="Calibri"/>
          <w:sz w:val="22"/>
          <w:szCs w:val="22"/>
        </w:rPr>
        <w:t xml:space="preserve">Click 'Lock Pending Semester Terms' to completely close and protect completed academic records from edits, securing student GPA logs and grade registries.</w:t>
      </w:r>
    </w:p>
    <w:p>
      <w:pPr>
        <w:pStyle w:val="Heading1"/>
        <w:spacing w:after="120" w:before="240"/>
      </w:pPr>
      <w:r>
        <w:t xml:space="preserve">2. Global MFA Security Governance</w:t>
      </w:r>
    </w:p>
    <w:p>
      <w:pPr>
        <w:spacing w:after="240"/>
      </w:pPr>
      <w:r>
        <w:rPr>
          <w:rFonts w:ascii="Calibri" w:cs="Calibri" w:eastAsia="Calibri" w:hAnsi="Calibri"/>
          <w:sz w:val="22"/>
          <w:szCs w:val="22"/>
        </w:rPr>
        <w:t xml:space="preserve">Under global Settings, Super Admins can toggle the mandatory MFA switch. When active, all platform users (students, faculty, and administrators) are globally required to use two-factor email verification code checks upon login.</w:t>
      </w:r>
    </w:p>
    <w:p>
      <w:pPr>
        <w:pStyle w:val="Heading1"/>
        <w:spacing w:after="120" w:before="240"/>
      </w:pPr>
      <w:r>
        <w:t xml:space="preserve">3. Admissions CRM &amp; Sequential ID Pipelines</w:t>
      </w:r>
    </w:p>
    <w:p>
      <w:pPr>
        <w:spacing w:after="240"/>
      </w:pPr>
      <w:r>
        <w:rPr>
          <w:rFonts w:ascii="Calibri" w:cs="Calibri" w:eastAsia="Calibri" w:hAnsi="Calibri"/>
          <w:sz w:val="22"/>
          <w:szCs w:val="22"/>
        </w:rPr>
        <w:t xml:space="preserve">The Admissions portal manages applicant pipelines. Admins can review uploaded academic transcripts, verify files, and approve or reject submissions. Approved applicants are automatically assigned department-linked sequential IDs (e.g. THEO-0001, SEML-0002) for structured cohort organization.</w:t>
      </w:r>
    </w:p>
    <w:p>
      <w:pPr>
        <w:pStyle w:val="Heading1"/>
        <w:spacing w:after="120" w:before="240"/>
      </w:pPr>
      <w:r>
        <w:t xml:space="preserve">4. Student Cohort Imports &amp; Alumni Migrations</w:t>
      </w:r>
    </w:p>
    <w:p>
      <w:pPr>
        <w:spacing w:after="240"/>
      </w:pPr>
      <w:r>
        <w:rPr>
          <w:rFonts w:ascii="Calibri" w:cs="Calibri" w:eastAsia="Calibri" w:hAnsi="Calibri"/>
          <w:sz w:val="22"/>
          <w:szCs w:val="22"/>
        </w:rPr>
        <w:t xml:space="preserve">• CSV Batch Student Import: Rapidly import active student cohorts using CSV templates.
• Alumni Database Management: Track graduated student cohorts and log official transcript requests.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2026-05-26T20:05:08.420Z</dcterms:created>
  <dcterms:modified xsi:type="dcterms:W3CDTF">2026-05-26T20:05:08.420Z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