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Recebi o documento-mestre do compilado técnico. Antes de executar, preciso fechar dois campos do escopo que ficaram em aberto no texto: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 de aplicação</w:t>
      </w:r>
      <w:r>
        <w:t xml:space="preserve">: qual devo assumir? (ex.: Pronto-Socorro / Sala Vermelha / UTI / abrangente geral)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População-alvo</w:t>
      </w:r>
      <w:r>
        <w:t xml:space="preserve">: adultos, pediátricos, idosos ou todas?</w:t>
      </w:r>
    </w:p>
    <w:p>
      <w:pPr>
        <w:pStyle w:val="FirstParagraph"/>
      </w:pPr>
      <w:r>
        <w:rPr>
          <w:b/>
          <w:bCs/>
        </w:rPr>
        <w:t xml:space="preserve">Sugestão padrão</w:t>
      </w:r>
      <w:r>
        <w:t xml:space="preserve"> </w:t>
      </w:r>
      <w:r>
        <w:t xml:space="preserve">(me confirme ou corrija):</w:t>
      </w:r>
      <w:r>
        <w:t xml:space="preserve"> </w:t>
      </w:r>
      <w:r>
        <w:rPr>
          <w:i/>
          <w:iCs/>
        </w:rPr>
        <w:t xml:space="preserve">Ambiente abrangente (PS → UTI) e população adulta</w:t>
      </w:r>
      <w:r>
        <w:t xml:space="preserve"> </w:t>
      </w:r>
      <w:r>
        <w:t xml:space="preserve">— é o cenário mais coberto pela validação dos escores de LRA (KDIGO/AKIN/RIFLE), CKD-EPI/MDRD/Cockcroft-Gault e dos distúrbios hidroeletrolítico-ácido-base.</w:t>
      </w:r>
    </w:p>
    <w:p>
      <w:pPr>
        <w:pStyle w:val="a0"/>
      </w:pPr>
      <w:r>
        <w:t xml:space="preserve">Cobertura prevista do Bloco 6, conforme seu prompt: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 14</w:t>
      </w:r>
      <w:r>
        <w:t xml:space="preserve"> </w:t>
      </w:r>
      <w:r>
        <w:t xml:space="preserve">— Critérios KDIGO/AKIN/RIFLE para LRA; equações de filtração CKD-EPI (2021 sem raça), MDRD, Cockcroft-Gault (com conversão para doses de fármacos)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 15</w:t>
      </w:r>
      <w:r>
        <w:t xml:space="preserve"> </w:t>
      </w:r>
      <w:r>
        <w:t xml:space="preserve">— Ânion Gap e Delta Gap (trilho de acidoses), déficit de água livre e correção de sódio para glicemia, reposição de potássio</w:t>
      </w:r>
    </w:p>
    <w:p>
      <w:pPr>
        <w:pStyle w:val="FirstParagraph"/>
      </w:pPr>
      <w:r>
        <w:t xml:space="preserve">Confirma o escopo (ou mande</w:t>
      </w:r>
      <w:r>
        <w:t xml:space="preserve"> </w:t>
      </w:r>
      <w:r>
        <w:t xml:space="preserve">“</w:t>
      </w:r>
      <w:r>
        <w:t xml:space="preserve">pode ir</w:t>
      </w:r>
      <w:r>
        <w:t xml:space="preserve">”</w:t>
      </w:r>
      <w:r>
        <w:t xml:space="preserve"> </w:t>
      </w:r>
      <w:r>
        <w:t xml:space="preserve">que uso a sugestão padrão) e eu entrego o compilado completo seguindo a estrutura obrigatória: Tabela Panorâmica → Dossiês Monográficos (identificação, parâmetros pontuados, estratificação com conduta farma/não farma por faixa, nuances e pegadinhas, referências validadas) → Avisos de segurança no início e fim.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sugestao padrão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Aviso de Segurança: Este compilado técnico tem caráter exclusivamente educacional e de suporte à consulta médica informada. Escores prognósticos e calculadoras clínicas servem como subsídio à decisão clínica e não substituem o julgamento presencial individualizado do profissional assistente.</w:t>
      </w:r>
    </w:p>
    <w:p>
      <w:pPr>
        <w:pStyle w:val="a0"/>
      </w:pPr>
      <w:r>
        <w:rPr>
          <w:b/>
          <w:bCs/>
        </w:rPr>
        <w:t xml:space="preserve">Escopo executado:</w:t>
      </w:r>
      <w:r>
        <w:t xml:space="preserve"> </w:t>
      </w:r>
      <w:r>
        <w:t xml:space="preserve">Bloco 6 — Nefrologia e Meio Interno | Módulos 14–15 | População adulta | Ambiente abrangente (Pronto-Socorro → UTI)</w:t>
      </w:r>
    </w:p>
    <w:p>
      <w:r>
        <w:pict>
          <v:rect style="width:0;height:1.5pt" o:hralign="center" o:hrstd="t" o:hr="t"/>
        </w:pict>
      </w:r>
    </w:p>
    <w:bookmarkStart w:id="20" w:name="etapa-1-tabela-sintética-panorâmica"/>
    <w:p>
      <w:pPr>
        <w:pStyle w:val="2"/>
      </w:pPr>
      <w:r>
        <w:t xml:space="preserve">ETAPA 1: TABELA SINTÉTICA PANORÂMICA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do Score / 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Indicada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Corte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 Resumida (Farma e Não Farma)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/ Ano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KDIGO — LRA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Adultos, qualquer contexto (inclui neonatos desde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sérica e diurese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≥ 0,3 mg/dL em 48h ou ≥ 1,5× basal em 7 dias; ou diurese &lt; 0,5 mL/kg/h por 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escore de pontos: classifica estágio I–III e orienta investigação, suspensão de nefrotóxicos, ajuste de fármacos por função renal, balanceamento hídrico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KDIGO Guideline 2012; revisão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em situação aguda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sérica e diurese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ao KDIGO (escore derivado do KDIGO, com fase de</w:t>
            </w:r>
            <w:r>
              <w:t xml:space="preserve"> </w:t>
            </w:r>
            <w:r>
              <w:t xml:space="preserve">“</w:t>
            </w:r>
            <w:r>
              <w:t xml:space="preserve">gerenciamento de risco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KDIGO; ênfase em reconhecimento precoce no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Mehta RL et al., Crit Care 2007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Adultos, contexto crítico (ICU)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Creatinina, diurese, e perda de função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R: Cr × 1,5; I: × 2; F: × 3 ou Cr ≥ 4 mg/dL; L: perda &gt; 4 semanas; E: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Stratificação de mortalidade crescente por classe (R &lt; I &lt; F); orienta escalonamento para UTI e nefroproteção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Bellomo R et al., Crit Care 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CKD-EPI 2021 (sem raça)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≥ 18 anos, função renal estável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(± albuminúria para estadiamento DRC)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TFG &lt; 60 mL/min/1,73m² por ≥ 3 meses = 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de doses conforme TFG; iECA/BRA em albuminúria; nefrologista se TFG &lt; 30 ou queda rápida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Inker LA et al., NEJM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CKD-EPI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(população de validação limitada em não-brancos)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Substituída pela versão 2021; ainda presente em bulas de fármacos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Levey AS et al., Ann Intern Med 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MDRD (4 variáveis)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Adultos, TFG &lt; 60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Creatinina, idade, sexo, 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precisa que CKD-EPI perto da TFG normal; ainda em bulas antigas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Levey AS et al., Ann Intern Med 1999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Cockcroft-Gault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Adultos, peso disponível; bulas farmacêuticas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Creatinina, idade, sexo,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30–50 mL/min: ajuste de dose (limiar varia por fármaco)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Referência obrigatória para ajuste de dose</w:t>
            </w:r>
            <w:r>
              <w:t xml:space="preserve"> </w:t>
            </w:r>
            <w:r>
              <w:t xml:space="preserve">conforme bulas (FDA/EMA); superestima em obesidade, subestima em caquexia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Cockcroft DW &amp; Gault MH, Nephron 1976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Ânion Gap (AG) e Delta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com acidose metabólica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Na⁺, Cl⁻, HCO₃⁻ (± albumina para correção)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&gt; 12 mEq/L (sem correção); &gt; 2× erro de medição sugere AG elevado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diagnóstica: acidose de AG alto (TOX, cetoacidose, LRA, laticidose) vs AG normal (diarreia, RTA); conduta dirigida à etiologia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Emmett &amp; Narins 1977; prática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Gap / Razão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com AG elevado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medido vs AG normal (12); HCO₃⁻ medido vs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Δ/Δ 1–2 sugere acidose mista; &lt; 1 associa AG normal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acidose tubular renal ou perda GI associada; direciona reposição alcalina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Gabow PA et al., Adv Nephrol 1980; uso consolidado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Correção de Na⁺ para glicemia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hiperglicêmicos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 medido, glicemia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Glicemia &gt; 200 mg/dL: adicionar correção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corrigido &gt; 145 define hipernatremia real (desidratação hipertônica) vs pseudohipernatremia translocacional; orienta velocidade de correção de Na⁺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Katz MA, NEJM 1973 (1,6); Hillier TA et al., Am J Med 1999 (2,4)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Déficit de Água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hipernatrêmicos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 sérico, peso, água corporal total (~60% PC homem; 50% mulher)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de água a repor = TBW × (Na⁺ – 140)/140; correção ≤ 10–12 mEq/L em 24h (risco de edema cerebral; na hipernatremia crônica ≤ 0,5 mEq/L/h)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Adrogué-Madias; prática de 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Reposição de Potássio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Adultos hipocalemiantes (K⁺ &lt; 3,5 mEq/L)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K⁺ sérico, ECG, função 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K⁺ &lt; 3,0 ou sintomático/ECG alterado: reposição IV monitorizada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 se leve e assintomático; IV 10 mEq/h via periférica (máx. 20 mEq/h em central com monitorização); nunca IV em bolus puro; checar Mg²⁺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institucionais (evidência de prática, sem RCT único definidor)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77" w:name="etapa-2-análise-monográfica-profunda"/>
    <w:p>
      <w:pPr>
        <w:pStyle w:val="2"/>
      </w:pPr>
      <w:r>
        <w:t xml:space="preserve">ETAPA 2: ANÁLISE MONOGRÁFICA PROFUNDA</w:t>
      </w:r>
    </w:p>
    <w:bookmarkStart w:id="26" w:name="X11ca058227caf0126ebfd7c0ab474006d280e7b"/>
    <w:p>
      <w:pPr>
        <w:pStyle w:val="3"/>
      </w:pPr>
      <w:r>
        <w:t xml:space="preserve">1. KDIGO — Injúria Renal Aguda (Critérios Diagnósticos e Estadiamento)</w:t>
      </w:r>
    </w:p>
    <w:bookmarkStart w:id="21" w:name="identificação-e-propósito-clínico"/>
    <w:p>
      <w:pPr>
        <w:pStyle w:val="4"/>
      </w:pPr>
      <w:r>
        <w:t xml:space="preserve">1.1 Identificação e Propósito Clínico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Nome formal:</w:t>
      </w:r>
      <w:r>
        <w:t xml:space="preserve"> </w:t>
      </w:r>
      <w:r>
        <w:t xml:space="preserve">Kidney Disease: Improving Global Outcomes — Clinical Practice Guideline for Acute Kidney Injury (2012; atualização em vigor 2024).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Padronizar</w:t>
      </w:r>
      <w:r>
        <w:t xml:space="preserve"> </w:t>
      </w:r>
      <w:r>
        <w:rPr>
          <w:i/>
          <w:iCs/>
        </w:rPr>
        <w:t xml:space="preserve">definição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estadiamento</w:t>
      </w:r>
      <w:r>
        <w:t xml:space="preserve"> </w:t>
      </w:r>
      <w:r>
        <w:t xml:space="preserve">de LRA (não é escore prognóstico de pontos; é classificação diagnóstica e estrutura de conduta).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Todos os pacientes adultos (a versão 2024 estendeu à pediatria).</w:t>
      </w:r>
      <w:r>
        <w:t xml:space="preserve"> </w:t>
      </w:r>
      <w:r>
        <w:rPr>
          <w:b/>
          <w:bCs/>
        </w:rPr>
        <w:t xml:space="preserve">Exclusões formais:</w:t>
      </w:r>
      <w:r>
        <w:t xml:space="preserve"> </w:t>
      </w:r>
      <w:r>
        <w:t xml:space="preserve">pacientes com doença renal crônica estável sem mudança aguda (nesse caso, usar critérios de DRC), e gestantes (critérios válidos, mas com nuances fisiológicas de creatinina na gravidez — ver 1.4).</w:t>
      </w:r>
    </w:p>
    <w:bookmarkEnd w:id="21"/>
    <w:bookmarkStart w:id="22" w:name="parâmetros-e-atribuição-tabela-detalhada"/>
    <w:p>
      <w:pPr>
        <w:pStyle w:val="4"/>
      </w:pPr>
      <w:r>
        <w:t xml:space="preserve">1.2 Parâmetros e Atribuição (Tabela Detalhada)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Estágio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sérica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Diurese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≥ 0,3 mg/dL em 48h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1,5–1,9× a basal em 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mL/kg/h por 6–12h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2,0–2,9× a basal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mL/kg/h por ≥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a basal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Cr ≥ 4,0 mg/dL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início de diálise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0,3 mL/kg/h por ≥ 24h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anúria ≥ 12h</w:t>
            </w:r>
          </w:p>
        </w:tc>
      </w:tr>
    </w:tbl>
    <w:p>
      <w:pPr>
        <w:pStyle w:val="a0"/>
      </w:pPr>
      <w:r>
        <w:rPr>
          <w:b/>
          <w:bCs/>
        </w:rPr>
        <w:t xml:space="preserve">Intervalo:</w:t>
      </w:r>
      <w:r>
        <w:t xml:space="preserve"> </w:t>
      </w:r>
      <w:r>
        <w:t xml:space="preserve">1 a 3 (sem soma de pontos).</w:t>
      </w:r>
    </w:p>
    <w:bookmarkEnd w:id="22"/>
    <w:bookmarkStart w:id="23" w:name="estratificação-e-condutas-por-faixa"/>
    <w:p>
      <w:pPr>
        <w:pStyle w:val="4"/>
      </w:pPr>
      <w:r>
        <w:t xml:space="preserve">1.3 Estratificação e Condutas por Faixa</w:t>
      </w:r>
    </w:p>
    <w:p>
      <w:pPr>
        <w:pStyle w:val="FirstParagraph"/>
      </w:pPr>
      <w:r>
        <w:rPr>
          <w:b/>
          <w:bCs/>
        </w:rPr>
        <w:t xml:space="preserve">Estágio 1 — Desfecho:</w:t>
      </w:r>
      <w:r>
        <w:t xml:space="preserve"> </w:t>
      </w:r>
      <w:r>
        <w:t xml:space="preserve">mortalidade hospitalar modestamente aumentada (RR ~1,8–2,0 vs sem LRA na coorte KDIGO); risco de progressão ~20–30% se fator causal persistente.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Farmacológica:</w:t>
      </w:r>
      <w:r>
        <w:t xml:space="preserve"> </w:t>
      </w:r>
      <w:r>
        <w:t xml:space="preserve">Sem fármaco específico para LRA — a terapia é etiológica e de proteção. Suspender temporariamente nefrotóxicos (AINEs, IECA/BRA, aminoglicosídeos, vancomicina conforme nível, contraste iônico). Ajustar doses</w:t>
      </w:r>
      <w:r>
        <w:t xml:space="preserve"> </w:t>
      </w:r>
      <w:r>
        <w:rPr>
          <w:b/>
          <w:bCs/>
        </w:rPr>
        <w:t xml:space="preserve">por TFG estimada</w:t>
      </w:r>
      <w:r>
        <w:t xml:space="preserve"> </w:t>
      </w:r>
      <w:r>
        <w:t xml:space="preserve">(Cockcroft-Gault para bulas). Hidratação: solução cristaloide balanceada (Ringer lactato/Plasma-Lyte) em pré-contraste — hidratação isotônica 1–1,5 mL/kg/h 3–12h antes e 6–24h após (protocolo CYRUS e Cochrane). Na suspeita de necrose tubular aguda:</w:t>
      </w:r>
      <w:r>
        <w:t xml:space="preserve"> </w:t>
      </w:r>
      <w:r>
        <w:rPr>
          <w:b/>
          <w:bCs/>
        </w:rPr>
        <w:t xml:space="preserve">nenhum medicamento comprovado</w:t>
      </w:r>
      <w:r>
        <w:t xml:space="preserve"> </w:t>
      </w:r>
      <w:r>
        <w:t xml:space="preserve">(dopamina renal, manitol, fenoldopam: sem benefício — não usar).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Não Farmacológica:</w:t>
      </w:r>
      <w:r>
        <w:t xml:space="preserve"> </w:t>
      </w:r>
      <w:r>
        <w:t xml:space="preserve">Investigar etiologia (pré-renal vs parenquimatosa vs pós-renal): ecografia renal em até 24h se suspeita obstrutiva; balanço hídrico estrito; pesagem diária; dieta livre conforme estado nutricional; reavaliação de creatinina em 24–48h. Destino: enfermaria com reavaliação seriada.</w:t>
      </w:r>
    </w:p>
    <w:p>
      <w:pPr>
        <w:pStyle w:val="a0"/>
      </w:pPr>
      <w:r>
        <w:rPr>
          <w:b/>
          <w:bCs/>
        </w:rPr>
        <w:t xml:space="preserve">Estágio 2 — Desfecho:</w:t>
      </w:r>
      <w:r>
        <w:t xml:space="preserve"> </w:t>
      </w:r>
      <w:r>
        <w:t xml:space="preserve">mortalidade ~3× basal; progressão para estágio 3 em ~30–40% dos casos não resolvidos.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Farmacológica:</w:t>
      </w:r>
      <w:r>
        <w:t xml:space="preserve"> </w:t>
      </w:r>
      <w:r>
        <w:t xml:space="preserve">Idem estágio 1, com rigor redobrado no ajuste de dose (ex.: enoxaparina por anti-Xa se TFG &lt; 30; metformina</w:t>
      </w:r>
      <w:r>
        <w:t xml:space="preserve"> </w:t>
      </w:r>
      <w:r>
        <w:rPr>
          <w:b/>
          <w:bCs/>
        </w:rPr>
        <w:t xml:space="preserve">contraindicada</w:t>
      </w:r>
      <w:r>
        <w:t xml:space="preserve"> </w:t>
      </w:r>
      <w:r>
        <w:t xml:space="preserve">se eGFR &lt; 30 e suspensa entre 30–45 em contexto agudo; gabapentinas reduzidas). Se LRA pré-renal por hipovolemia: expansão cuidadosa com cristaloides balanceados 250–500 mL em bólus com reavaliação dinâmica (variação de débito/PPV, se disponível). Evitar soluções salinas 0,9% em grandes volumes (cloreto → acidose e risco renal — estudo SMART/SALT-ED).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Não Farmacológica:</w:t>
      </w:r>
      <w:r>
        <w:t xml:space="preserve"> </w:t>
      </w:r>
      <w:r>
        <w:t xml:space="preserve">Avaliar necessidade de</w:t>
      </w:r>
      <w:r>
        <w:t xml:space="preserve"> </w:t>
      </w:r>
      <w:r>
        <w:rPr>
          <w:b/>
          <w:bCs/>
        </w:rPr>
        <w:t xml:space="preserve">UTI</w:t>
      </w:r>
      <w:r>
        <w:t xml:space="preserve"> </w:t>
      </w:r>
      <w:r>
        <w:t xml:space="preserve">se paciente instável ou com comorbidade limitante; acesso venoso central se terapia vasoativa ou hiperosmolar; monitorização de débito urinário por sonda vesical de demora se necessidade de precisão; gasometria seriada se acidose; nefrologista em até 24h se sem reversão do fator causal.</w:t>
      </w:r>
    </w:p>
    <w:p>
      <w:pPr>
        <w:pStyle w:val="a0"/>
      </w:pPr>
      <w:r>
        <w:rPr>
          <w:b/>
          <w:bCs/>
        </w:rPr>
        <w:t xml:space="preserve">Estágio 3 — Desfecho:</w:t>
      </w:r>
      <w:r>
        <w:t xml:space="preserve"> </w:t>
      </w:r>
      <w:r>
        <w:t xml:space="preserve">mortalidade intra-hospitalar 35–50% (maior se LRA com necessidade de diálise, especialmente em UTI com sepse).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Farmacológica:</w:t>
      </w:r>
      <w:r>
        <w:t xml:space="preserve"> </w:t>
      </w:r>
      <w:r>
        <w:t xml:space="preserve">Avaliar indicações de</w:t>
      </w:r>
      <w:r>
        <w:t xml:space="preserve"> </w:t>
      </w:r>
      <w:r>
        <w:rPr>
          <w:b/>
          <w:bCs/>
        </w:rPr>
        <w:t xml:space="preserve">diálise de urgência</w:t>
      </w:r>
      <w:r>
        <w:t xml:space="preserve"> </w:t>
      </w:r>
      <w:r>
        <w:t xml:space="preserve">— AEIOU:</w:t>
      </w:r>
      <w:r>
        <w:t xml:space="preserve"> </w:t>
      </w:r>
      <w:r>
        <w:rPr>
          <w:b/>
          <w:bCs/>
        </w:rPr>
        <w:t xml:space="preserve">A</w:t>
      </w:r>
      <w:r>
        <w:t xml:space="preserve">cidose severa (pH &lt; 7,2 refratária),</w:t>
      </w:r>
      <w:r>
        <w:t xml:space="preserve"> </w:t>
      </w:r>
      <w:r>
        <w:rPr>
          <w:b/>
          <w:bCs/>
        </w:rPr>
        <w:t xml:space="preserve">E</w:t>
      </w:r>
      <w:r>
        <w:t xml:space="preserve">lectrolítica (K⁺ &gt; 6,0–6,5 refratário),</w:t>
      </w:r>
      <w:r>
        <w:t xml:space="preserve"> </w:t>
      </w:r>
      <w:r>
        <w:rPr>
          <w:b/>
          <w:bCs/>
        </w:rPr>
        <w:t xml:space="preserve">I</w:t>
      </w:r>
      <w:r>
        <w:t xml:space="preserve">ntoxicação dialisável (metanol, etilenoglicol, lítio, salicilato, barbitúricos),</w:t>
      </w:r>
      <w:r>
        <w:t xml:space="preserve"> </w:t>
      </w:r>
      <w:r>
        <w:rPr>
          <w:b/>
          <w:bCs/>
        </w:rPr>
        <w:t xml:space="preserve">O</w:t>
      </w:r>
      <w:r>
        <w:t xml:space="preserve">verload hídrico refratário (edema agudo de pulmão não responsivo),</w:t>
      </w:r>
      <w:r>
        <w:t xml:space="preserve"> </w:t>
      </w:r>
      <w:r>
        <w:rPr>
          <w:b/>
          <w:bCs/>
        </w:rPr>
        <w:t xml:space="preserve">U</w:t>
      </w:r>
      <w:r>
        <w:t xml:space="preserve">remia complicada (encefalopatia, pericardite, sangramento). Até o acesso: fármacos ponte — resonium cálcico (cationiômero de cálcio) 15–30 g VO/retal, bicarbonato de sódio 8,4% 50–100 mEq IV se acidose (com monitorização de Ca²⁺ iônico e volume), glicose + insulina (10 UI regular IV + 50 g glicose) para hipercalemia com ECG alterado;</w:t>
      </w:r>
      <w:r>
        <w:t xml:space="preserve"> </w:t>
      </w:r>
      <w:r>
        <w:rPr>
          <w:b/>
          <w:bCs/>
        </w:rPr>
        <w:t xml:space="preserve">gluconato de cálcio 10% 10–30 mL IV em 3–5 min</w:t>
      </w:r>
      <w:r>
        <w:t xml:space="preserve"> </w:t>
      </w:r>
      <w:r>
        <w:t xml:space="preserve">para estabilização de membrana cardíaca (não reduz K⁺; apenas protege o miocárdio — repetir se ECG persistir).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Conduta Não Farmacológica:</w:t>
      </w:r>
      <w:r>
        <w:t xml:space="preserve"> </w:t>
      </w:r>
      <w:r>
        <w:rPr>
          <w:b/>
          <w:bCs/>
        </w:rPr>
        <w:t xml:space="preserve">UTI obrigatória</w:t>
      </w:r>
      <w:r>
        <w:t xml:space="preserve">; diálise de urgência (hemodiálise preferida na instabilidade hemodinâmica com vasoativos — HDF contínua se choque refratário); restrição hídrica (água insensível ~400 mL/dia + perdas mensuradas, ou volume calculado); nutrição enteral precoce (se em HD, proteínas 1,2–1,5 g/kg/dia); proteção de acesso arterial/venoso para diálise; monitorização invasiva se vasoativo (noradrenalina primeira linha na sepse).</w:t>
      </w:r>
    </w:p>
    <w:bookmarkEnd w:id="23"/>
    <w:bookmarkStart w:id="24" w:name="nuances-operacionais-e-pegadinhas"/>
    <w:p>
      <w:pPr>
        <w:pStyle w:val="4"/>
      </w:pPr>
      <w:r>
        <w:t xml:space="preserve">1.4 Nuances Operacionais e Pegadinhas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Creatinina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basal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desconhecida no PS:</w:t>
      </w:r>
      <w:r>
        <w:t xml:space="preserve"> </w:t>
      </w:r>
      <w:r>
        <w:t xml:space="preserve">usar última creatinina disponível em meses; se ausente, a KDIGO admite a menor creatinina hospitalar como referência, sabendo-se que superestima LRA.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Diurese &lt; 0,5 mL/kg/h</w:t>
      </w:r>
      <w:r>
        <w:t xml:space="preserve">: exige sonda ou coleta meticulosa; paciente com edema periférico pode ter diurese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com LRA verdadeiro (falso negativo no critério urinário).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Creatinina atrasada:</w:t>
      </w:r>
      <w:r>
        <w:t xml:space="preserve"> </w:t>
      </w:r>
      <w:r>
        <w:t xml:space="preserve">a creatinina sobe 24–48h após a injúria real — um paciente com necrose tubular aguda franca pode ainda ter Cr normal nas primeiras horas; a creatinina também subestima injúria na caquexia (menos massa muscular) e na gravidez (Cr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de 0,4–0,6 pode representar LRA).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 clássico:</w:t>
      </w:r>
      <w:r>
        <w:t xml:space="preserve"> </w:t>
      </w:r>
      <w:r>
        <w:t xml:space="preserve">“</w:t>
      </w:r>
      <w:r>
        <w:t xml:space="preserve">normalizar</w:t>
      </w:r>
      <w:r>
        <w:t xml:space="preserve">”</w:t>
      </w:r>
      <w:r>
        <w:t xml:space="preserve"> </w:t>
      </w:r>
      <w:r>
        <w:t xml:space="preserve">creatinina em paciente idoso com Cr 1,4 mg/dL — em mulher de 80 anos, isso pode representar TFG &lt; 30 mL/min. Sempre estimar TFG, nunca interpretar creatinina crua isolada.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Populações sem validação formal:</w:t>
      </w:r>
      <w:r>
        <w:t xml:space="preserve"> </w:t>
      </w:r>
      <w:r>
        <w:t xml:space="preserve">cirrose avançada (criatinina subestima injúria — considerar critérios IAC); queimados extensos; pacientes em ECMO.</w:t>
      </w:r>
    </w:p>
    <w:bookmarkEnd w:id="24"/>
    <w:bookmarkStart w:id="25" w:name="base-de-evidências"/>
    <w:p>
      <w:pPr>
        <w:pStyle w:val="4"/>
      </w:pPr>
      <w:r>
        <w:t xml:space="preserve">1.5 Base de Evidências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Derivador:</w:t>
      </w:r>
      <w:r>
        <w:t xml:space="preserve"> </w:t>
      </w:r>
      <w:r>
        <w:t xml:space="preserve">KDIGO Work Group.</w:t>
      </w:r>
      <w:r>
        <w:t xml:space="preserve"> </w:t>
      </w:r>
      <w:r>
        <w:rPr>
          <w:i/>
          <w:iCs/>
        </w:rPr>
        <w:t xml:space="preserve">Kidney Int Suppl.</w:t>
      </w:r>
      <w:r>
        <w:t xml:space="preserve"> </w:t>
      </w:r>
      <w:r>
        <w:t xml:space="preserve">2012;2(1):1–138.</w:t>
      </w:r>
      <w:r>
        <w:t xml:space="preserve"> </w:t>
      </w:r>
      <w:r>
        <w:rPr>
          <w:b/>
          <w:bCs/>
        </w:rPr>
        <w:t xml:space="preserve">Atualização:</w:t>
      </w:r>
      <w:r>
        <w:t xml:space="preserve"> </w:t>
      </w:r>
      <w:r>
        <w:t xml:space="preserve">KDIGO 2024 Clinical Practice Guideline para DRC (integra LRA) e comentários 2024 sobre AKI.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Diretrizes:</w:t>
      </w:r>
      <w:r>
        <w:t xml:space="preserve"> </w:t>
      </w:r>
      <w:r>
        <w:t xml:space="preserve">KDIGO 2012/2024; Surviving Sepsis Campaign 2021 (LRA em sepse — cristaloides balanceados); AHA/ACCF 2011 (contrast-induced nephropathy); ESC/EACTS 2022 (proteção renal em cardiologia intervencionista).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Controvérsia atual:</w:t>
      </w:r>
      <w:r>
        <w:t xml:space="preserve"> </w:t>
      </w:r>
      <w:r>
        <w:t xml:space="preserve">a busca por biomarcadores (NGAL, KIM-1, TIMP-2×IGFBP7 — teste NephroCheck® FDA-cleared 2014) para diagnóstico mais precoce que a creatinina; a creatinina permanece padrão-ouro operacional.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kin-acute-kidney-injury-network-2007"/>
    <w:p>
      <w:pPr>
        <w:pStyle w:val="3"/>
      </w:pPr>
      <w:r>
        <w:t xml:space="preserve">2. AKIN (Acute Kidney Injury Network) — 2007</w:t>
      </w:r>
    </w:p>
    <w:bookmarkStart w:id="27" w:name="identificação-e-propósito-clínico-1"/>
    <w:p>
      <w:pPr>
        <w:pStyle w:val="4"/>
      </w:pPr>
      <w:r>
        <w:t xml:space="preserve">2.1 Identificação e Propósito Clínico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Acute Kidney Injury Network criteria — Mehta RL, Kellum JA, Shah SV, et al. </w:t>
      </w:r>
      <w:r>
        <w:rPr>
          <w:i/>
          <w:iCs/>
        </w:rPr>
        <w:t xml:space="preserve">Crit Care.</w:t>
      </w:r>
      <w:r>
        <w:t xml:space="preserve"> </w:t>
      </w:r>
      <w:r>
        <w:t xml:space="preserve">2007;11(2):R31.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Diagnóstico e estadiamento de LRA com ênfase em</w:t>
      </w:r>
      <w:r>
        <w:t xml:space="preserve"> </w:t>
      </w:r>
      <w:r>
        <w:rPr>
          <w:b/>
          <w:bCs/>
        </w:rPr>
        <w:t xml:space="preserve">sensibilidade para o reconhecimento precoce</w:t>
      </w:r>
      <w:r>
        <w:t xml:space="preserve">, incluindo um estágio</w:t>
      </w:r>
      <w:r>
        <w:t xml:space="preserve"> </w:t>
      </w:r>
      <w:r>
        <w:t xml:space="preserve">“</w:t>
      </w:r>
      <w:r>
        <w:t xml:space="preserve">Risco</w:t>
      </w:r>
      <w:r>
        <w:t xml:space="preserve">”</w:t>
      </w:r>
      <w:r>
        <w:t xml:space="preserve"> </w:t>
      </w:r>
      <w:r>
        <w:t xml:space="preserve">(risco) anterior ao estágio 1 formal.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agudos.</w:t>
      </w:r>
      <w:r>
        <w:t xml:space="preserve"> </w:t>
      </w:r>
      <w:r>
        <w:rPr>
          <w:b/>
          <w:bCs/>
        </w:rPr>
        <w:t xml:space="preserve">Exclusão:</w:t>
      </w:r>
      <w:r>
        <w:t xml:space="preserve"> </w:t>
      </w:r>
      <w:r>
        <w:t xml:space="preserve">DRC estável sem componente agudo.</w:t>
      </w:r>
    </w:p>
    <w:bookmarkEnd w:id="27"/>
    <w:bookmarkStart w:id="28" w:name="parâmetros-e-pontuação"/>
    <w:p>
      <w:pPr>
        <w:pStyle w:val="4"/>
      </w:pPr>
      <w:r>
        <w:t xml:space="preserve">2.2 Parâmetros e Pontuação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Estágio AKIN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≥ 0,3 mg/dL de aumento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1,5× basal, OU diurese &lt; 0,5 mL/kg/h por 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Lesão (Injury)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2× basal OU diurese &lt; 0,5 mL/kg/h por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Falha (Failure)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3× basal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Cr ≥ 4,0 mg/dL com aumento agudo ≥ 0,5 mg/dL, OU diurese &lt; 0,3 mL/kg/h por 24h ou anúria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Perda (Loss)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 de diálise &gt; 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Diálise &gt; 3 meses</w:t>
            </w:r>
          </w:p>
        </w:tc>
      </w:tr>
    </w:tbl>
    <w:p>
      <w:pPr>
        <w:pStyle w:val="a0"/>
      </w:pPr>
      <w:r>
        <w:rPr>
          <w:b/>
          <w:bCs/>
        </w:rPr>
        <w:t xml:space="preserve">Intervalo:</w:t>
      </w:r>
      <w:r>
        <w:t xml:space="preserve"> </w:t>
      </w:r>
      <w:r>
        <w:t xml:space="preserve">3 estágios agudos (sem soma).</w:t>
      </w:r>
    </w:p>
    <w:bookmarkEnd w:id="28"/>
    <w:bookmarkStart w:id="29" w:name="estratificação-e-condutas-por-faixa-1"/>
    <w:p>
      <w:pPr>
        <w:pStyle w:val="4"/>
      </w:pPr>
      <w:r>
        <w:t xml:space="preserve">2.3 Estratificação e Condutas por Faixa</w:t>
      </w:r>
    </w:p>
    <w:p>
      <w:pPr>
        <w:pStyle w:val="FirstParagraph"/>
      </w:pPr>
      <w:r>
        <w:rPr>
          <w:b/>
          <w:bCs/>
        </w:rPr>
        <w:t xml:space="preserve">Risco</w:t>
      </w:r>
      <w:r>
        <w:t xml:space="preserve"> </w:t>
      </w:r>
      <w:r>
        <w:t xml:space="preserve">— Desfecho: progressão à lesão/falha em ~10–20%; mortalidade menor que estágios superiores, mas maior que sem injúria.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Farma:</w:t>
      </w:r>
      <w:r>
        <w:t xml:space="preserve"> </w:t>
      </w:r>
      <w:r>
        <w:t xml:space="preserve">Suspender nefrotóxicos; ajuste de dose por TFG estimada; hidratação isotônica se pré-renal; evitar AINEs e IECA/BRA até resolução.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farma:</w:t>
      </w:r>
      <w:r>
        <w:t xml:space="preserve"> </w:t>
      </w:r>
      <w:r>
        <w:t xml:space="preserve">Reavaliação de creatinina e diurese em 6–12h; busca ativa de etiologia (história, exame físico de volume, ecografia se indicado); observação ou enfermaria com balanço hídrico.</w:t>
      </w:r>
    </w:p>
    <w:p>
      <w:pPr>
        <w:pStyle w:val="a0"/>
      </w:pPr>
      <w:r>
        <w:rPr>
          <w:b/>
          <w:bCs/>
        </w:rPr>
        <w:t xml:space="preserve">Lesão / Falha</w:t>
      </w:r>
      <w:r>
        <w:t xml:space="preserve"> </w:t>
      </w:r>
      <w:r>
        <w:t xml:space="preserve">— Desfecho: mortalidade ~30–50% na falha; risco de LRA persistente.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Farma/Não farma:</w:t>
      </w:r>
      <w:r>
        <w:t xml:space="preserve"> </w:t>
      </w:r>
      <w:r>
        <w:t xml:space="preserve">Conforme estágios 2–3 do KDIGO (são operacionalmente idênticos): avaliação de UTI, diálise se AEIOU, restrição hídrica, nefroconsulta.</w:t>
      </w:r>
    </w:p>
    <w:bookmarkEnd w:id="29"/>
    <w:bookmarkStart w:id="30" w:name="nuances"/>
    <w:p>
      <w:pPr>
        <w:pStyle w:val="4"/>
      </w:pPr>
      <w:r>
        <w:t xml:space="preserve">2.4 Nuances</w:t>
      </w:r>
    </w:p>
    <w:p>
      <w:pPr>
        <w:pStyle w:val="Compact"/>
        <w:numPr>
          <w:ilvl w:val="0"/>
          <w:numId w:val="1007"/>
        </w:numPr>
      </w:pPr>
      <w:r>
        <w:t xml:space="preserve">O estágio</w:t>
      </w:r>
      <w:r>
        <w:t xml:space="preserve"> </w:t>
      </w:r>
      <w:r>
        <w:t xml:space="preserve">“</w:t>
      </w:r>
      <w:r>
        <w:t xml:space="preserve">Perda/ESRD</w:t>
      </w:r>
      <w:r>
        <w:t xml:space="preserve">”</w:t>
      </w:r>
      <w:r>
        <w:t xml:space="preserve"> </w:t>
      </w:r>
      <w:r>
        <w:t xml:space="preserve">antecipou a noção de LRA persistente (definida posteriormente como perda de função &gt; 7 dias — conceito ADQI/KDIGO 2012).</w:t>
      </w:r>
    </w:p>
    <w:p>
      <w:pPr>
        <w:pStyle w:val="Compact"/>
        <w:numPr>
          <w:ilvl w:val="0"/>
          <w:numId w:val="1007"/>
        </w:numPr>
      </w:pPr>
      <w:r>
        <w:t xml:space="preserve">Praticamente absorvido pelo KDIGO (2012), que é o critério atualmente exigido em ensaios clínicos e diretrizes — usar KDIGO na prática; AKIN permanece referência histórica e em alguns protocolos institucionais.</w:t>
      </w:r>
    </w:p>
    <w:bookmarkEnd w:id="30"/>
    <w:bookmarkStart w:id="31" w:name="base-de-evidências-1"/>
    <w:p>
      <w:pPr>
        <w:pStyle w:val="4"/>
      </w:pPr>
      <w:r>
        <w:t xml:space="preserve">2.5 Base de Evidências</w:t>
      </w:r>
    </w:p>
    <w:p>
      <w:pPr>
        <w:pStyle w:val="Compact"/>
        <w:numPr>
          <w:ilvl w:val="0"/>
          <w:numId w:val="1008"/>
        </w:numPr>
      </w:pPr>
      <w:r>
        <w:t xml:space="preserve">Mehta RL et al.,</w:t>
      </w:r>
      <w:r>
        <w:t xml:space="preserve"> </w:t>
      </w:r>
      <w:r>
        <w:rPr>
          <w:i/>
          <w:iCs/>
        </w:rPr>
        <w:t xml:space="preserve">Crit Care</w:t>
      </w:r>
      <w:r>
        <w:t xml:space="preserve"> </w:t>
      </w:r>
      <w:r>
        <w:t xml:space="preserve">2007;11:R31. Diferenças entre AKIN e RIFLE/KDIGO revisadas em Lopes JA &amp; Jorge S,</w:t>
      </w:r>
      <w:r>
        <w:t xml:space="preserve"> </w:t>
      </w:r>
      <w:r>
        <w:rPr>
          <w:i/>
          <w:iCs/>
        </w:rPr>
        <w:t xml:space="preserve">Nefrologia</w:t>
      </w:r>
      <w:r>
        <w:t xml:space="preserve"> </w:t>
      </w:r>
      <w:r>
        <w:t xml:space="preserve">2013.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9cf9ce1be09d3c66a675393e99b1033ceb7317b"/>
    <w:p>
      <w:pPr>
        <w:pStyle w:val="3"/>
      </w:pPr>
      <w:r>
        <w:t xml:space="preserve">3. RIFLE (Risk–Injury–Failure–Loss–End-stage) — 2004</w:t>
      </w:r>
    </w:p>
    <w:bookmarkStart w:id="33" w:name="identificação-e-propósito-clínico-2"/>
    <w:p>
      <w:pPr>
        <w:pStyle w:val="4"/>
      </w:pPr>
      <w:r>
        <w:t xml:space="preserve">3.1 Identificação e Propósito Clínico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RIFLE classification — Bellomo R, Ronco C, Kellum JA, et al. (ADQI workgroup).</w:t>
      </w:r>
      <w:r>
        <w:t xml:space="preserve"> </w:t>
      </w:r>
      <w:r>
        <w:rPr>
          <w:i/>
          <w:iCs/>
        </w:rPr>
        <w:t xml:space="preserve">Crit Care.</w:t>
      </w:r>
      <w:r>
        <w:t xml:space="preserve"> </w:t>
      </w:r>
      <w:r>
        <w:t xml:space="preserve">2004;8(4):R204–R212.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Primeira classificação padronizada de LRA em contexto crítico, com gradiente prognóstico validado para mortalidade.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em UTI (cohorte de validação original em pacientes críticos).</w:t>
      </w:r>
      <w:r>
        <w:t xml:space="preserve"> </w:t>
      </w:r>
      <w:r>
        <w:rPr>
          <w:b/>
          <w:bCs/>
        </w:rPr>
        <w:t xml:space="preserve">Exclusões:</w:t>
      </w:r>
      <w:r>
        <w:t xml:space="preserve"> </w:t>
      </w:r>
      <w:r>
        <w:t xml:space="preserve">pacientes ambulatoriais, LRA crônica estável.</w:t>
      </w:r>
    </w:p>
    <w:bookmarkEnd w:id="33"/>
    <w:bookmarkStart w:id="34" w:name="parâmetros-e-pontuação-1"/>
    <w:p>
      <w:pPr>
        <w:pStyle w:val="4"/>
      </w:pPr>
      <w:r>
        <w:t xml:space="preserve">3.2 Parâmetros e Pontuação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Creatinina / TFG (GFR)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Diurese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× 1,5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TFG ↓ &gt;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mL/kg/h por 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× 2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TFG ↓ 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mL/kg/h por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× 3,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Cr ≥ 4 mg/dL com aumento agudo ≥ 0,5,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TFG ↓ &gt;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0,3 mL/kg/h por 24h ou anúria 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renal perdida &gt; 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&gt; 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4"/>
    <w:bookmarkStart w:id="35" w:name="estratificação-e-condutas-por-faixa-2"/>
    <w:p>
      <w:pPr>
        <w:pStyle w:val="4"/>
      </w:pPr>
      <w:r>
        <w:t xml:space="preserve">3.3 Estratificação e Condutas por Faixa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mortalidade ~10–20% vs ~5% sem LRA (varia com população). Conduta: investigação etiológica, nefroproteção, hidratação guiada.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Injury:</w:t>
      </w:r>
      <w:r>
        <w:t xml:space="preserve"> </w:t>
      </w:r>
      <w:r>
        <w:t xml:space="preserve">mortalidade ~30%. Conduta: conforme KDIGO estágio 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Failure:</w:t>
      </w:r>
      <w:r>
        <w:t xml:space="preserve"> </w:t>
      </w:r>
      <w:r>
        <w:t xml:space="preserve">mortalidade ~40–60% (maior em diálise). Conduta: conforme KDIGO estágio 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Loss/ESRD:</w:t>
      </w:r>
      <w:r>
        <w:t xml:space="preserve"> </w:t>
      </w:r>
      <w:r>
        <w:t xml:space="preserve">conduta de LRA crônica — preparação para terapia renal substitutiva crônica.</w:t>
      </w:r>
    </w:p>
    <w:bookmarkEnd w:id="35"/>
    <w:bookmarkStart w:id="36" w:name="nuances-1"/>
    <w:p>
      <w:pPr>
        <w:pStyle w:val="4"/>
      </w:pPr>
      <w:r>
        <w:t xml:space="preserve">3.4 Nuances</w:t>
      </w:r>
    </w:p>
    <w:p>
      <w:pPr>
        <w:pStyle w:val="Compact"/>
        <w:numPr>
          <w:ilvl w:val="0"/>
          <w:numId w:val="1011"/>
        </w:numPr>
      </w:pPr>
      <w:r>
        <w:t xml:space="preserve">RIFLE usa</w:t>
      </w:r>
      <w:r>
        <w:t xml:space="preserve"> </w:t>
      </w:r>
      <w:r>
        <w:rPr>
          <w:b/>
          <w:bCs/>
        </w:rPr>
        <w:t xml:space="preserve">TFG estimada</w:t>
      </w:r>
      <w:r>
        <w:t xml:space="preserve"> </w:t>
      </w:r>
      <w:r>
        <w:t xml:space="preserve">(MDRD) como alternativa à creatinina — hoje sabe-se que eGFR não deve ser usado na fase aguda (a equação pressupõe equilíbrio).</w:t>
      </w:r>
    </w:p>
    <w:p>
      <w:pPr>
        <w:pStyle w:val="Compact"/>
        <w:numPr>
          <w:ilvl w:val="0"/>
          <w:numId w:val="1011"/>
        </w:numPr>
      </w:pPr>
      <w:r>
        <w:t xml:space="preserve">Menos sensível que KDIGO no estágio inicial (exige aumento de 50% na creatinina vs 0,3 mg/dL absoluto do KDIGO).</w:t>
      </w:r>
    </w:p>
    <w:p>
      <w:pPr>
        <w:pStyle w:val="Compact"/>
        <w:numPr>
          <w:ilvl w:val="0"/>
          <w:numId w:val="1011"/>
        </w:numPr>
      </w:pPr>
      <w:r>
        <w:t xml:space="preserve">Validado em UTI — extrapolação para enfermaria/ambulatório é heurística, não validação formal.</w:t>
      </w:r>
    </w:p>
    <w:bookmarkEnd w:id="36"/>
    <w:bookmarkStart w:id="37" w:name="base-de-evidências-2"/>
    <w:p>
      <w:pPr>
        <w:pStyle w:val="4"/>
      </w:pPr>
      <w:r>
        <w:t xml:space="preserve">3.5 Base de Evidências</w:t>
      </w:r>
    </w:p>
    <w:p>
      <w:pPr>
        <w:pStyle w:val="Compact"/>
        <w:numPr>
          <w:ilvl w:val="0"/>
          <w:numId w:val="1012"/>
        </w:numPr>
      </w:pPr>
      <w:r>
        <w:t xml:space="preserve">Bellomo R et al.,</w:t>
      </w:r>
      <w:r>
        <w:t xml:space="preserve"> </w:t>
      </w:r>
      <w:r>
        <w:rPr>
          <w:i/>
          <w:iCs/>
        </w:rPr>
        <w:t xml:space="preserve">Crit Care</w:t>
      </w:r>
      <w:r>
        <w:t xml:space="preserve"> </w:t>
      </w:r>
      <w:r>
        <w:t xml:space="preserve">2004;8:R204–212. Comparações prognósticas: Ricci Z et al.,</w:t>
      </w:r>
      <w:r>
        <w:t xml:space="preserve"> </w:t>
      </w:r>
      <w:r>
        <w:rPr>
          <w:i/>
          <w:iCs/>
        </w:rPr>
        <w:t xml:space="preserve">Crit Care</w:t>
      </w:r>
      <w:r>
        <w:t xml:space="preserve"> </w:t>
      </w:r>
      <w:r>
        <w:t xml:space="preserve">2008;12:R70 (meta-análise mostrando gradiente de mortalidade).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kd-epi-2021-sem-raça-estimativa-de-tfg"/>
    <w:p>
      <w:pPr>
        <w:pStyle w:val="3"/>
      </w:pPr>
      <w:r>
        <w:t xml:space="preserve">4. CKD-EPI 2021 (sem raça) — Estimativa de TFG</w:t>
      </w:r>
    </w:p>
    <w:bookmarkStart w:id="39" w:name="identificação-e-propósito-clínico-3"/>
    <w:p>
      <w:pPr>
        <w:pStyle w:val="4"/>
      </w:pPr>
      <w:r>
        <w:t xml:space="preserve">4.1 Identificação e Propósito Clínico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CKD-EPI 2021 Race-Free Equation — Inker LA, Eneanya ND, Coresh J,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2021;385:1737–1749.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Estimar TFG estável para</w:t>
      </w:r>
      <w:r>
        <w:t xml:space="preserve"> </w:t>
      </w:r>
      <w:r>
        <w:rPr>
          <w:b/>
          <w:bCs/>
        </w:rPr>
        <w:t xml:space="preserve">estadiamento de DRC</w:t>
      </w:r>
      <w:r>
        <w:t xml:space="preserve">, rastreamento e referência (não para LRA aguda, nem ajuste direto de bulas).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≥ 18 anos com função renal estátil (não válido em LRA, gravidez, edema, desnutrição grave, amputação).</w:t>
      </w:r>
    </w:p>
    <w:bookmarkEnd w:id="39"/>
    <w:bookmarkStart w:id="40" w:name="parâmetros-e-pontuação-fórmula"/>
    <w:p>
      <w:pPr>
        <w:pStyle w:val="4"/>
      </w:pPr>
      <w:r>
        <w:t xml:space="preserve">4.2 Parâmetros e Pontuação (Fórmula)</w:t>
      </w:r>
    </w:p>
    <w:p>
      <w:pPr>
        <w:pStyle w:val="FirstParagraph"/>
      </w:pPr>
      <w:r>
        <w:t xml:space="preserve">CKD-EPI 2021 criatinina (sem raça):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Mulher:</w:t>
      </w:r>
      <w:r>
        <w:t xml:space="preserve"> </w:t>
      </w:r>
      <w:r>
        <w:t xml:space="preserve">TFG = 142 × (Scr/0,7)^(−0,241 se Scr ≤ 0,7; −1,200 se Scr &gt; 0,7) × 0,9938^idade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Homem:</w:t>
      </w:r>
      <w:r>
        <w:t xml:space="preserve"> </w:t>
      </w:r>
      <w:r>
        <w:t xml:space="preserve">TFG = 142 × (Scr/0,9)^(−0,302 se Scr ≤ 0,9; −1,200 se Scr &gt; 0,9) × 0,9938^idade</w:t>
      </w:r>
      <w:r>
        <w:t xml:space="preserve"> </w:t>
      </w:r>
      <w:r>
        <w:t xml:space="preserve">- Unidade: mL/min/1,73m². Sem termo racial.</w:t>
      </w:r>
    </w:p>
    <w:p>
      <w:pPr>
        <w:pStyle w:val="a0"/>
      </w:pPr>
      <w:r>
        <w:t xml:space="preserve">(Equação completa também existe combinando creatinina + cistatina C — mais precisa; cistatina C ainda de acesso limitado no Brasil.)</w:t>
      </w:r>
    </w:p>
    <w:bookmarkEnd w:id="40"/>
    <w:bookmarkStart w:id="41" w:name="estratificação-e-condutas-por-faixa-3"/>
    <w:p>
      <w:pPr>
        <w:pStyle w:val="4"/>
      </w:pPr>
      <w:r>
        <w:t xml:space="preserve">4.3 Estratificação e Condutas por Faixa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TFG (mL/min/1,73m²)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Estágio 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 resumida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(normal/alta)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Rastreio se albuminúria/risco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Rastrear albuminúria 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Nefrologista se albuminúria A2/A3, queda rápida (&gt; 5 mL/min/ano), ou complicações; iECA/BRA se DM+albuminúria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Referenciar nefrologista; preparação para DRC avançada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Nefrologista obrigatório; preparação para diálise/transplante; ajuste rigoroso de doses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Terapia renal substitutiva quando sintomático ou TFG &lt; 10–15 com indicação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Farma:</w:t>
      </w:r>
      <w:r>
        <w:t xml:space="preserve"> </w:t>
      </w:r>
      <w:r>
        <w:t xml:space="preserve">iECA/BRA reduzem progressão em DRC com albuminúria (diabética ou não) — dobrar dose até máximo tolerado; monitorar K⁺ e Cr em 2–4 semanas após início/titulação (aceita-se aumento de Cr até 30%). SGLT2i (dapagliflozina, empagliflozina) — benefício cardiorenal em TFG ≥ 20–25 (CRÉDENCE, DAPA-CKD, EMPA-KIDNEY); considerar finerenona em DRC diabética com albuminúria (FIDELIO/FIGARO).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Não farma:</w:t>
      </w:r>
      <w:r>
        <w:t xml:space="preserve"> </w:t>
      </w:r>
      <w:r>
        <w:t xml:space="preserve">Restrição de sódio &lt; 2 g/dia; controle pressórico &lt; 130/80 (individualizado); vacinação antipneumocócica e hepatite B em estágios avançados; evitar AINEs crônicos.</w:t>
      </w:r>
    </w:p>
    <w:bookmarkEnd w:id="41"/>
    <w:bookmarkStart w:id="42" w:name="nuances-2"/>
    <w:p>
      <w:pPr>
        <w:pStyle w:val="4"/>
      </w:pPr>
      <w:r>
        <w:t xml:space="preserve">4.4 Nuances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usar na fase aguda</w:t>
      </w:r>
      <w:r>
        <w:t xml:space="preserve"> </w:t>
      </w:r>
      <w:r>
        <w:t xml:space="preserve">(exige estado estacionário); não usar em</w:t>
      </w:r>
      <w:r>
        <w:t xml:space="preserve"> </w:t>
      </w:r>
      <w:r>
        <w:rPr>
          <w:b/>
          <w:bCs/>
        </w:rPr>
        <w:t xml:space="preserve">ajuste de dose</w:t>
      </w:r>
      <w:r>
        <w:t xml:space="preserve"> </w:t>
      </w:r>
      <w:r>
        <w:t xml:space="preserve">sem checar a bula (a maioria das bulas ainda referencia Cockcroft-Gault ou MDRD).</w:t>
      </w:r>
    </w:p>
    <w:p>
      <w:pPr>
        <w:pStyle w:val="Compact"/>
        <w:numPr>
          <w:ilvl w:val="0"/>
          <w:numId w:val="1015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extremos de peso/massa muscular</w:t>
      </w:r>
      <w:r>
        <w:t xml:space="preserve"> </w:t>
      </w:r>
      <w:r>
        <w:t xml:space="preserve">(caquexia, obesidade mórbida, amputados, paraplegia), usar cistatina C ou coleta urinária de 24h para confirmação.</w:t>
      </w:r>
    </w:p>
    <w:p>
      <w:pPr>
        <w:pStyle w:val="Compact"/>
        <w:numPr>
          <w:ilvl w:val="0"/>
          <w:numId w:val="1015"/>
        </w:numPr>
      </w:pPr>
      <w:r>
        <w:t xml:space="preserve">Validação no Brasil mostra boa performance em população miscigenada — a retirada do termo racial aumentou a equidade sem perda relevante de acurácia global.</w:t>
      </w:r>
    </w:p>
    <w:bookmarkEnd w:id="42"/>
    <w:bookmarkStart w:id="43" w:name="base-de-evidências-3"/>
    <w:p>
      <w:pPr>
        <w:pStyle w:val="4"/>
      </w:pPr>
      <w:r>
        <w:t xml:space="preserve">4.5 Base de Evidências</w:t>
      </w:r>
    </w:p>
    <w:p>
      <w:pPr>
        <w:pStyle w:val="Compact"/>
        <w:numPr>
          <w:ilvl w:val="0"/>
          <w:numId w:val="1016"/>
        </w:numPr>
      </w:pPr>
      <w:r>
        <w:t xml:space="preserve">Inker LA et al., NEJM 2021 (derivadora); Delgado C et al.,</w:t>
      </w:r>
      <w:r>
        <w:t xml:space="preserve"> </w:t>
      </w:r>
      <w:r>
        <w:rPr>
          <w:i/>
          <w:iCs/>
        </w:rPr>
        <w:t xml:space="preserve">AJKD</w:t>
      </w:r>
      <w:r>
        <w:t xml:space="preserve"> </w:t>
      </w:r>
      <w:r>
        <w:t xml:space="preserve">2022 (validação global). Diretriz: KDIGO 2024 DRC Guideline.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drd-4-variáveis-1999"/>
    <w:p>
      <w:pPr>
        <w:pStyle w:val="3"/>
      </w:pPr>
      <w:r>
        <w:t xml:space="preserve">5. MDRD (4 variáveis) — 1999</w:t>
      </w:r>
    </w:p>
    <w:bookmarkStart w:id="45" w:name="identificação-fórmula-e-faixas"/>
    <w:p>
      <w:pPr>
        <w:pStyle w:val="4"/>
      </w:pPr>
      <w:r>
        <w:t xml:space="preserve">5.1–5.3 Identificação, Fórmula e Faixas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Derivador:</w:t>
      </w:r>
      <w:r>
        <w:t xml:space="preserve"> </w:t>
      </w:r>
      <w:r>
        <w:t xml:space="preserve">Levey AS et al. </w:t>
      </w:r>
      <w:r>
        <w:rPr>
          <w:i/>
          <w:iCs/>
        </w:rPr>
        <w:t xml:space="preserve">Ann Intern Med.</w:t>
      </w:r>
      <w:r>
        <w:t xml:space="preserve"> </w:t>
      </w:r>
      <w:r>
        <w:t xml:space="preserve">1999;130:461–470 (estudo MDRD).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Fórmula:</w:t>
      </w:r>
      <w:r>
        <w:t xml:space="preserve"> </w:t>
      </w:r>
      <w:r>
        <w:t xml:space="preserve">TFG = 186 × Scr^−1,154 × idade^−0,203 × (0,742 se mulher) × (1,210 se negro) mL/min/1,73m².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Faixas/condutas:</w:t>
      </w:r>
      <w:r>
        <w:t xml:space="preserve"> </w:t>
      </w:r>
      <w:r>
        <w:t xml:space="preserve">idênticas às da CKD-EPI (estadiamento KDIGO G1–G5).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Pontos fracos:</w:t>
      </w:r>
      <w:r>
        <w:t xml:space="preserve"> </w:t>
      </w:r>
      <w:r>
        <w:t xml:space="preserve">menos precisa que CKD-EPI para TFG &gt; 60 (subestima); validada em TFG &lt; 60; ainda citada em bulas mais antigas.</w:t>
      </w:r>
    </w:p>
    <w:bookmarkEnd w:id="45"/>
    <w:bookmarkStart w:id="46" w:name="nuances-e-evidência"/>
    <w:p>
      <w:pPr>
        <w:pStyle w:val="4"/>
      </w:pPr>
      <w:r>
        <w:t xml:space="preserve">5.4–5.5 Nuances e Evidência</w:t>
      </w:r>
    </w:p>
    <w:p>
      <w:pPr>
        <w:pStyle w:val="Compact"/>
        <w:numPr>
          <w:ilvl w:val="0"/>
          <w:numId w:val="1018"/>
        </w:numPr>
      </w:pPr>
      <w:r>
        <w:t xml:space="preserve">Em populações de ascendência africana, o coeficiente racial gerava debates de equidade — CKD-EPI 2021 resolveu isso.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Base:</w:t>
      </w:r>
      <w:r>
        <w:t xml:space="preserve"> </w:t>
      </w:r>
      <w:r>
        <w:t xml:space="preserve">Levey AS et al. 1999; comparação direta: Levey AS et al. </w:t>
      </w:r>
      <w:r>
        <w:rPr>
          <w:i/>
          <w:iCs/>
        </w:rPr>
        <w:t xml:space="preserve">Ann Intern Med</w:t>
      </w:r>
      <w:r>
        <w:t xml:space="preserve"> </w:t>
      </w:r>
      <w:r>
        <w:t xml:space="preserve">2009 (CKD-EPI supera MDRD).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0eb1366250af23623fbb4f0b9f38afde6010861"/>
    <w:p>
      <w:pPr>
        <w:pStyle w:val="3"/>
      </w:pPr>
      <w:r>
        <w:t xml:space="preserve">6. Cockcroft-Gault — 1976 (Padrão para Ajuste de Dose)</w:t>
      </w:r>
    </w:p>
    <w:bookmarkStart w:id="48" w:name="identificação-e-propósito-clínico-4"/>
    <w:p>
      <w:pPr>
        <w:pStyle w:val="4"/>
      </w:pPr>
      <w:r>
        <w:t xml:space="preserve">6.1 Identificação e Propósito Clínico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Cockcroft-Gault formula — Cockcroft DW, Gault MH.</w:t>
      </w:r>
      <w:r>
        <w:t xml:space="preserve"> </w:t>
      </w:r>
      <w:r>
        <w:rPr>
          <w:i/>
          <w:iCs/>
        </w:rPr>
        <w:t xml:space="preserve">Nephron.</w:t>
      </w:r>
      <w:r>
        <w:t xml:space="preserve"> </w:t>
      </w:r>
      <w:r>
        <w:t xml:space="preserve">1976;16(1):31–41.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Estimar</w:t>
      </w:r>
      <w:r>
        <w:t xml:space="preserve"> </w:t>
      </w:r>
      <w:r>
        <w:rPr>
          <w:b/>
          <w:bCs/>
        </w:rPr>
        <w:t xml:space="preserve">clearance de creatinina (ClCr) para ajuste de dose de medicamentos</w:t>
      </w:r>
      <w:r>
        <w:t xml:space="preserve"> </w:t>
      </w:r>
      <w:r>
        <w:t xml:space="preserve">— é a equação referenciada na maioria das bulas (FDA, EMA, ANVISA).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com peso disponível e função estável.</w:t>
      </w:r>
      <w:r>
        <w:t xml:space="preserve"> </w:t>
      </w:r>
      <w:r>
        <w:rPr>
          <w:b/>
          <w:bCs/>
        </w:rPr>
        <w:t xml:space="preserve">Exclusões:</w:t>
      </w:r>
      <w:r>
        <w:t xml:space="preserve"> </w:t>
      </w:r>
      <w:r>
        <w:t xml:space="preserve">obesidade mórbida (peso real distorce — usar peso ajustado), caquexia (peso real subestima — usar peso ideal), LRA aguda, amputação, gravidez, idade &gt; 90 anos (extrapolação empírica).</w:t>
      </w:r>
    </w:p>
    <w:bookmarkEnd w:id="48"/>
    <w:bookmarkStart w:id="49" w:name="fórmula"/>
    <w:p>
      <w:pPr>
        <w:pStyle w:val="4"/>
      </w:pPr>
      <w:r>
        <w:t xml:space="preserve">6.2 Fórmula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Homem:</w:t>
      </w:r>
      <w:r>
        <w:t xml:space="preserve"> </w:t>
      </w:r>
      <w:r>
        <w:t xml:space="preserve">ClCr = [(140 − idade) × peso (kg)] / (72 × Scr em mg/dL)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Mulher:</w:t>
      </w:r>
      <w:r>
        <w:t xml:space="preserve"> </w:t>
      </w:r>
      <w:r>
        <w:t xml:space="preserve">× 0,85</w:t>
      </w:r>
      <w:r>
        <w:t xml:space="preserve"> </w:t>
      </w:r>
      <w:r>
        <w:t xml:space="preserve">Unidade: mL/min (não indexada ao 1,73m²).</w:t>
      </w:r>
    </w:p>
    <w:bookmarkEnd w:id="49"/>
    <w:bookmarkStart w:id="50" w:name="estratificação-e-condutas-por-faixa-4"/>
    <w:p>
      <w:pPr>
        <w:pStyle w:val="4"/>
      </w:pPr>
      <w:r>
        <w:t xml:space="preserve">6.3 Estratificação e Condutas por Faixa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ClCr (mL/min)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de ajuste (sempre conferir a bula específica)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plena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ou intervalo ampliado (ex.: metformina cautela &lt; 45; gabapentina reduzir)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significativa; metformina contraindicada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Contraindicados: metformina; cuidado com acúmulo de AAS, opioides, digoxina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Farma:</w:t>
      </w:r>
      <w:r>
        <w:t xml:space="preserve"> </w:t>
      </w:r>
      <w:r>
        <w:t xml:space="preserve">Ajustar conforme tabela acima; considerar anti-Xa para LMWH em TFG &lt; 30.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Não farma:</w:t>
      </w:r>
      <w:r>
        <w:t xml:space="preserve"> </w:t>
      </w:r>
      <w:r>
        <w:t xml:space="preserve">Idem DRC (estadiamento, nefroproteção).</w:t>
      </w:r>
    </w:p>
    <w:bookmarkEnd w:id="50"/>
    <w:bookmarkStart w:id="51" w:name="nuances-3"/>
    <w:p>
      <w:pPr>
        <w:pStyle w:val="4"/>
      </w:pPr>
      <w:r>
        <w:t xml:space="preserve">6.4 Nuances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Peso ideal vs real:</w:t>
      </w:r>
      <w:r>
        <w:t xml:space="preserve"> </w:t>
      </w:r>
      <w:r>
        <w:t xml:space="preserve">na obesidade (IMC &gt; 30), usar peso ajustado/ideal para evitar superestimativa e subdosagem; na caquexia, o ClCr pode ser superestimado por baixa produção de creatinina — considerar peso ideal.</w:t>
      </w:r>
    </w:p>
    <w:p>
      <w:pPr>
        <w:pStyle w:val="Compact"/>
        <w:numPr>
          <w:ilvl w:val="0"/>
          <w:numId w:val="1022"/>
        </w:numPr>
      </w:pPr>
      <w:r>
        <w:t xml:space="preserve">Diverge da TFG indexada (1,73m²) — não são valores intercambiáveis; uma diferença de 10–20% entre Cockcroft-Gault e CKD-EPI é comum e clinicamente irrelevante na maioria dos casos, mas em</w:t>
      </w:r>
      <w:r>
        <w:t xml:space="preserve"> </w:t>
      </w:r>
      <w:r>
        <w:rPr>
          <w:b/>
          <w:bCs/>
        </w:rPr>
        <w:t xml:space="preserve">drogas de margem estreita</w:t>
      </w:r>
      <w:r>
        <w:t xml:space="preserve"> </w:t>
      </w:r>
      <w:r>
        <w:t xml:space="preserve">(digoxina, aminoglicosídeos, vancomicina) usar a menor estimativa + monitorização de níveis.</w:t>
      </w:r>
    </w:p>
    <w:bookmarkEnd w:id="51"/>
    <w:bookmarkStart w:id="52" w:name="evidência"/>
    <w:p>
      <w:pPr>
        <w:pStyle w:val="4"/>
      </w:pPr>
      <w:r>
        <w:t xml:space="preserve">6.5 Evidência</w:t>
      </w:r>
    </w:p>
    <w:p>
      <w:pPr>
        <w:pStyle w:val="Compact"/>
        <w:numPr>
          <w:ilvl w:val="0"/>
          <w:numId w:val="1023"/>
        </w:numPr>
      </w:pPr>
      <w:r>
        <w:t xml:space="preserve">Cockcroft DW &amp; Gault MH, Nephron 1976 (derivadora, n = 249 homens — limitação histórica conhecida).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2b3c41a0df87989d234226cd9d969890ae61310"/>
    <w:p>
      <w:pPr>
        <w:pStyle w:val="3"/>
      </w:pPr>
      <w:r>
        <w:t xml:space="preserve">7. Ânion Gap e Delta Gap (Gasometria Arteriana/Venosa)</w:t>
      </w:r>
    </w:p>
    <w:bookmarkStart w:id="54" w:name="identificação-e-propósito-clínico-5"/>
    <w:p>
      <w:pPr>
        <w:pStyle w:val="4"/>
      </w:pPr>
      <w:r>
        <w:t xml:space="preserve">7.1 Identificação e Propósito Clínico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Ânion Gap (AG) — Gap Aniónico; Delta Gap/Razão Delta.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Objetivo:</w:t>
      </w:r>
      <w:r>
        <w:t xml:space="preserve"> </w:t>
      </w:r>
      <w:r>
        <w:rPr>
          <w:b/>
          <w:bCs/>
        </w:rPr>
        <w:t xml:space="preserve">Trilha diagnóstica</w:t>
      </w:r>
      <w:r>
        <w:t xml:space="preserve"> </w:t>
      </w:r>
      <w:r>
        <w:t xml:space="preserve">de acidose metabólica (AG alto vs normal) e detecção de distúrbio misto.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com gasometria disponível.</w:t>
      </w:r>
      <w:r>
        <w:t xml:space="preserve"> </w:t>
      </w:r>
      <w:r>
        <w:rPr>
          <w:b/>
          <w:bCs/>
        </w:rPr>
        <w:t xml:space="preserve">Exclusões:</w:t>
      </w:r>
      <w:r>
        <w:t xml:space="preserve"> </w:t>
      </w:r>
      <w:r>
        <w:t xml:space="preserve">hipoproteinemia (corrige AG — ver 7.4).</w:t>
      </w:r>
    </w:p>
    <w:bookmarkEnd w:id="54"/>
    <w:bookmarkStart w:id="55" w:name="parâmetros-e-cálculo"/>
    <w:p>
      <w:pPr>
        <w:pStyle w:val="4"/>
      </w:pPr>
      <w:r>
        <w:t xml:space="preserve">7.2 Parâmetros e Cálculo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 = Na⁺ − (Cl⁻ + HCO₃⁻)</w:t>
      </w:r>
      <w:r>
        <w:t xml:space="preserve"> </w:t>
      </w:r>
      <w:r>
        <w:t xml:space="preserve">— valor normal 12 ± 4 mEq/L (sem K⁺ na fórmula; alguns serviços somam K⁺: normal ~16 ± 4).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Correção para albumina (obrigatória):</w:t>
      </w:r>
      <w:r>
        <w:t xml:space="preserve"> </w:t>
      </w:r>
      <w:r>
        <w:t xml:space="preserve">AG corrigido = AG medido + 2,5 × (4,0 − albumina em g/dL). Cada 1 g/dL de albumina baixa reduz o AG em ~2,5 mEq/L.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Delta Gap:</w:t>
      </w:r>
      <w:r>
        <w:t xml:space="preserve"> </w:t>
      </w:r>
      <w:r>
        <w:t xml:space="preserve">ΔGap = (AG medido − 12) − (24 − HCO₃⁻ medido). Valor normal: −6 a +6.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Razão Delta:</w:t>
      </w:r>
      <w:r>
        <w:t xml:space="preserve"> </w:t>
      </w:r>
      <w:r>
        <w:t xml:space="preserve">Δ/Δ = (AG − 12) / (24 − HCO₃⁻). Interpretação: ~1–2 = acidose AG alto pura;</w:t>
      </w:r>
      <w:r>
        <w:t xml:space="preserve"> </w:t>
      </w:r>
      <w:r>
        <w:rPr>
          <w:b/>
          <w:bCs/>
        </w:rPr>
        <w:t xml:space="preserve">&lt; 1</w:t>
      </w:r>
      <w:r>
        <w:t xml:space="preserve"> </w:t>
      </w:r>
      <w:r>
        <w:t xml:space="preserve">= acidose AG alto + acidose AG normal (perda GI/RTA associada);</w:t>
      </w:r>
      <w:r>
        <w:t xml:space="preserve"> </w:t>
      </w:r>
      <w:r>
        <w:rPr>
          <w:b/>
          <w:bCs/>
        </w:rPr>
        <w:t xml:space="preserve">&gt; 2</w:t>
      </w:r>
      <w:r>
        <w:t xml:space="preserve"> </w:t>
      </w:r>
      <w:r>
        <w:t xml:space="preserve">= alcalose metabólica associada (pré-compensação/Hipercloremia).</w:t>
      </w:r>
    </w:p>
    <w:bookmarkEnd w:id="55"/>
    <w:bookmarkStart w:id="56" w:name="condutas-por-perfil-gasométrico"/>
    <w:p>
      <w:pPr>
        <w:pStyle w:val="4"/>
      </w:pPr>
      <w:r>
        <w:t xml:space="preserve">7.3 Condutas por Perfil Gasométrico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 elevado (corrigido &gt; 12):</w:t>
      </w:r>
      <w:r>
        <w:t xml:space="preserve"> </w:t>
      </w:r>
      <w:r>
        <w:t xml:space="preserve">etiologias —</w:t>
      </w:r>
      <w:r>
        <w:t xml:space="preserve"> </w:t>
      </w:r>
      <w:r>
        <w:rPr>
          <w:b/>
          <w:bCs/>
        </w:rPr>
        <w:t xml:space="preserve">GOLD MARK</w:t>
      </w:r>
      <w:r>
        <w:t xml:space="preserve"> </w:t>
      </w:r>
      <w:r>
        <w:t xml:space="preserve">(glicose/quinolatos, oxoproline, L-metanol, salicilato, ureia/LRA, R-rhabdomiólise, cetoacidose/lactato).</w:t>
      </w:r>
    </w:p>
    <w:p>
      <w:pPr>
        <w:pStyle w:val="Compact"/>
        <w:numPr>
          <w:ilvl w:val="1"/>
          <w:numId w:val="1027"/>
        </w:numPr>
      </w:pPr>
      <w:r>
        <w:t xml:space="preserve">Farmacológica dirigida: cetoacidose diabética — insulina regular IV 0,1 UI/kg/h (ou 0,14 UI/kg/h sem bolus — diretriz ADA 2024, bolus facultativo), reidratação com NaCl 0,45% ou 0,9% conforme Na corrigido, reposição de K⁺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insulina se K⁺ &lt; 3,3; intoxicação por metanol/etilenoglicol — fomepizol 15 mg/kg IV em bolus (dose de ataque), depois 10 mg/kg a cada 12h; dialisável — hemodiálise se AG &gt; 30, alteração visual, ou falha de tratamento; LRA com hipercalemia — vide KDIGO estágio 3.</w:t>
      </w:r>
    </w:p>
    <w:p>
      <w:pPr>
        <w:pStyle w:val="Compact"/>
        <w:numPr>
          <w:ilvl w:val="1"/>
          <w:numId w:val="1027"/>
        </w:numPr>
      </w:pPr>
      <w:r>
        <w:t xml:space="preserve">Não farmacológica: monitorização gasométrica seriada (a cada 2–4h na Cetoacidose), débito urinário, ECG contínuo se K⁺ anormal, investigação da causa.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 normal (8–12):</w:t>
      </w:r>
      <w:r>
        <w:t xml:space="preserve"> </w:t>
      </w:r>
      <w:r>
        <w:t xml:space="preserve">acidose hiperclorêmica — perda GI (diarreia, fístulas), RTA (distal tipo I, proximal tipo II, tipo IV hiperkalemic), TPN, SARA. Conduta etiológica; RTA tipo I: citrato de potássio; tipo IV: fludrocortisona 0,1–0,2 mg/dia se hiporeninemia confirmada.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Delta gap alterado:</w:t>
      </w:r>
      <w:r>
        <w:t xml:space="preserve"> </w:t>
      </w:r>
      <w:r>
        <w:t xml:space="preserve">conduta dirigida ao distúrbio adicional identificado.</w:t>
      </w:r>
    </w:p>
    <w:bookmarkEnd w:id="56"/>
    <w:bookmarkStart w:id="57" w:name="nuances-4"/>
    <w:p>
      <w:pPr>
        <w:pStyle w:val="4"/>
      </w:pPr>
      <w:r>
        <w:t xml:space="preserve">7.4 Nuances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 clássico:</w:t>
      </w:r>
      <w:r>
        <w:t xml:space="preserve"> </w:t>
      </w:r>
      <w:r>
        <w:t xml:space="preserve">não corrigir AG para albumina — paciente com albumina 1,5 g/dL tem AG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de 7 que, corrigido, é ~13 (AG elevado mascarado).</w:t>
      </w:r>
    </w:p>
    <w:p>
      <w:pPr>
        <w:pStyle w:val="Compact"/>
        <w:numPr>
          <w:ilvl w:val="0"/>
          <w:numId w:val="1028"/>
        </w:numPr>
      </w:pPr>
      <w:r>
        <w:t xml:space="preserve">Gasometria</w:t>
      </w:r>
      <w:r>
        <w:t xml:space="preserve"> </w:t>
      </w:r>
      <w:r>
        <w:rPr>
          <w:b/>
          <w:bCs/>
        </w:rPr>
        <w:t xml:space="preserve">venosa</w:t>
      </w:r>
      <w:r>
        <w:t xml:space="preserve"> </w:t>
      </w:r>
      <w:r>
        <w:t xml:space="preserve">aceitável para triagem (pH e HCO₃⁻ com boa correlação), mas na instabilidade (choque, cetoacidose grave) preferir arterial.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Confusor de laboratório:</w:t>
      </w:r>
      <w:r>
        <w:t xml:space="preserve"> </w:t>
      </w:r>
      <w:r>
        <w:t xml:space="preserve">salicilato e algumas paraproteinemias alteram a eletroneutralidade medida.</w:t>
      </w:r>
    </w:p>
    <w:bookmarkEnd w:id="57"/>
    <w:bookmarkStart w:id="58" w:name="evidência-1"/>
    <w:p>
      <w:pPr>
        <w:pStyle w:val="4"/>
      </w:pPr>
      <w:r>
        <w:t xml:space="preserve">7.5 Evidência</w:t>
      </w:r>
    </w:p>
    <w:p>
      <w:pPr>
        <w:pStyle w:val="Compact"/>
        <w:numPr>
          <w:ilvl w:val="0"/>
          <w:numId w:val="1029"/>
        </w:numPr>
      </w:pPr>
      <w:r>
        <w:t xml:space="preserve">Emblema: Emmett M, Narins RG.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1977;297:793–803. Razão delta: Gabow PA et al. </w:t>
      </w:r>
      <w:r>
        <w:rPr>
          <w:i/>
          <w:iCs/>
        </w:rPr>
        <w:t xml:space="preserve">Adv Nephrol Necker Hosp.</w:t>
      </w:r>
      <w:r>
        <w:t xml:space="preserve"> </w:t>
      </w:r>
      <w:r>
        <w:t xml:space="preserve">1980;9:351–366. Fomepizol: Brent J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2001;344:424–429. Diretriz cetoacidose: ADA Standards 2024.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orreção-de-sódio-para-glicemia"/>
    <w:p>
      <w:pPr>
        <w:pStyle w:val="3"/>
      </w:pPr>
      <w:r>
        <w:t xml:space="preserve">8. Correção de Sódio para Glicemia</w:t>
      </w:r>
    </w:p>
    <w:bookmarkStart w:id="60" w:name="identificação-e-propósito-clínico-6"/>
    <w:p>
      <w:pPr>
        <w:pStyle w:val="4"/>
      </w:pPr>
      <w:r>
        <w:t xml:space="preserve">8.1 Identificação e Propósito Clínico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Diferenciar hipernatremia real (déficit de água) de hipernatremia translocacional (deslocamento de água para o intracellular pela hiperglicemia — hiperosmolaridade).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com glicemia &gt; 200 mg/dL.</w:t>
      </w:r>
    </w:p>
    <w:bookmarkEnd w:id="60"/>
    <w:bookmarkStart w:id="61" w:name="fórmulas"/>
    <w:p>
      <w:pPr>
        <w:pStyle w:val="4"/>
      </w:pPr>
      <w:r>
        <w:t xml:space="preserve">8.2 Fórmulas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Katz (1973):</w:t>
      </w:r>
      <w:r>
        <w:t xml:space="preserve"> </w:t>
      </w:r>
      <w:r>
        <w:t xml:space="preserve">Na⁺ corrigido = Na⁺ medido + 1,6 mEq/L para cada 100 mg/dL de glicemia acima de 100 mg/dL (ou acima de 200, conforme serviço).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Hillier (1999):</w:t>
      </w:r>
      <w:r>
        <w:t xml:space="preserve"> </w:t>
      </w:r>
      <w:r>
        <w:t xml:space="preserve">correção de</w:t>
      </w:r>
      <w:r>
        <w:t xml:space="preserve"> </w:t>
      </w:r>
      <w:r>
        <w:rPr>
          <w:b/>
          <w:bCs/>
        </w:rPr>
        <w:t xml:space="preserve">2,4 mEq/L</w:t>
      </w:r>
      <w:r>
        <w:t xml:space="preserve"> </w:t>
      </w:r>
      <w:r>
        <w:t xml:space="preserve">por 100 mg/dL — mais precisa em glicemias muito altas (estudo com clamp de hiperglicemia; recomendada para HHS/CAD grave).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Prática:</w:t>
      </w:r>
      <w:r>
        <w:t xml:space="preserve"> </w:t>
      </w:r>
      <w:r>
        <w:t xml:space="preserve">na glicemia &gt; 400–500 mg/dL, preferir o fator 2,4; valores intermediários, 1,6 é aceitável.</w:t>
      </w:r>
    </w:p>
    <w:bookmarkEnd w:id="61"/>
    <w:bookmarkStart w:id="62" w:name="condutas"/>
    <w:p>
      <w:pPr>
        <w:pStyle w:val="4"/>
      </w:pPr>
      <w:r>
        <w:t xml:space="preserve">8.3 Condutas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Na corrigido normal (135–145):</w:t>
      </w:r>
      <w:r>
        <w:t xml:space="preserve"> </w:t>
      </w:r>
      <w:r>
        <w:t xml:space="preserve">hipernatremia apenas translocacional — não há indicação de correção de sódio; tratar a hiperglicemia (hidratação + insulina) e o Na se normaliza espontaneamente à medida que a glicemia cai (rebaixar glicemia ~75–100 mg/dL/h na HHS).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Na corrigido &gt; 145:</w:t>
      </w:r>
      <w:r>
        <w:t xml:space="preserve"> </w:t>
      </w:r>
      <w:r>
        <w:t xml:space="preserve">hipernatremia real — calcular déficit de água livre (item 9) e repor com água livre oral/sonda ou soluções hipotônicas IV (ver 9.3), ajustando pela velocidade de queda da glicemia (a queda da glicemia</w:t>
      </w:r>
      <w:r>
        <w:t xml:space="preserve"> </w:t>
      </w:r>
      <w:r>
        <w:t xml:space="preserve">“</w:t>
      </w:r>
      <w:r>
        <w:t xml:space="preserve">arrasta</w:t>
      </w:r>
      <w:r>
        <w:t xml:space="preserve">”</w:t>
      </w:r>
      <w:r>
        <w:t xml:space="preserve"> </w:t>
      </w:r>
      <w:r>
        <w:t xml:space="preserve">água de volta ao extracellular e eleva o Na medido — o Na corrigido é o guia de tratamento, não o Na medido).</w:t>
      </w:r>
    </w:p>
    <w:bookmarkEnd w:id="62"/>
    <w:bookmarkStart w:id="63" w:name="nuances-5"/>
    <w:p>
      <w:pPr>
        <w:pStyle w:val="4"/>
      </w:pPr>
      <w:r>
        <w:t xml:space="preserve">8.4 Nuances</w:t>
      </w:r>
    </w:p>
    <w:p>
      <w:pPr>
        <w:pStyle w:val="Compact"/>
        <w:numPr>
          <w:ilvl w:val="0"/>
          <w:numId w:val="1033"/>
        </w:numPr>
      </w:pPr>
      <w:r>
        <w:t xml:space="preserve">Erro clássico: tratar o sódio</w:t>
      </w:r>
      <w:r>
        <w:t xml:space="preserve"> </w:t>
      </w:r>
      <w:r>
        <w:t xml:space="preserve">“</w:t>
      </w:r>
      <w:r>
        <w:t xml:space="preserve">medido</w:t>
      </w:r>
      <w:r>
        <w:t xml:space="preserve">”</w:t>
      </w:r>
      <w:r>
        <w:t xml:space="preserve"> </w:t>
      </w:r>
      <w:r>
        <w:t xml:space="preserve">baixo como dilucional em DKA e restringir água indevidamente — o guia é o Na corrigido.</w:t>
      </w:r>
    </w:p>
    <w:p>
      <w:pPr>
        <w:pStyle w:val="Compact"/>
        <w:numPr>
          <w:ilvl w:val="0"/>
          <w:numId w:val="1033"/>
        </w:numPr>
      </w:pPr>
      <w:r>
        <w:t xml:space="preserve">Na gestação, os fatores de correção não foram validados formalmente.</w:t>
      </w:r>
    </w:p>
    <w:bookmarkEnd w:id="63"/>
    <w:bookmarkStart w:id="64" w:name="evidência-2"/>
    <w:p>
      <w:pPr>
        <w:pStyle w:val="4"/>
      </w:pPr>
      <w:r>
        <w:t xml:space="preserve">8.5 Evidência</w:t>
      </w:r>
    </w:p>
    <w:p>
      <w:pPr>
        <w:pStyle w:val="Compact"/>
        <w:numPr>
          <w:ilvl w:val="0"/>
          <w:numId w:val="1034"/>
        </w:numPr>
      </w:pPr>
      <w:r>
        <w:t xml:space="preserve">Katz MA.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1973;289:843–844. Hillier TA et al. </w:t>
      </w:r>
      <w:r>
        <w:rPr>
          <w:i/>
          <w:iCs/>
        </w:rPr>
        <w:t xml:space="preserve">Am J Med.</w:t>
      </w:r>
      <w:r>
        <w:t xml:space="preserve"> </w:t>
      </w:r>
      <w:r>
        <w:t xml:space="preserve">1999;106:399–403. HHS (consenso ADA/Endocrine Society): Gosmanov AR &amp; Umpierrez GE,</w:t>
      </w:r>
      <w:r>
        <w:t xml:space="preserve"> </w:t>
      </w:r>
      <w:r>
        <w:rPr>
          <w:i/>
          <w:iCs/>
        </w:rPr>
        <w:t xml:space="preserve">J Clin Endocrinol Metab.</w:t>
      </w:r>
      <w:r>
        <w:t xml:space="preserve"> </w:t>
      </w:r>
      <w:r>
        <w:t xml:space="preserve">2022 (diretriz de consenso HHS).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déficit-de-água-livre-hipernatremia"/>
    <w:p>
      <w:pPr>
        <w:pStyle w:val="3"/>
      </w:pPr>
      <w:r>
        <w:t xml:space="preserve">9. Déficit de Água Livre (Hipernatremia)</w:t>
      </w:r>
    </w:p>
    <w:bookmarkStart w:id="66" w:name="identificação-e-propósito-clínico-7"/>
    <w:p>
      <w:pPr>
        <w:pStyle w:val="4"/>
      </w:pPr>
      <w:r>
        <w:t xml:space="preserve">9.1 Identificação e Propósito Clínico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Quantificar o volume de água a repor na hipernatremia.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com Na⁺ &gt; 145 mEq/L (após correção para glicemia, se aplicável).</w:t>
      </w:r>
    </w:p>
    <w:bookmarkEnd w:id="66"/>
    <w:bookmarkStart w:id="67" w:name="fórmula-1"/>
    <w:p>
      <w:pPr>
        <w:pStyle w:val="4"/>
      </w:pPr>
      <w:r>
        <w:t xml:space="preserve">9.2 Fórmula</w:t>
      </w:r>
    </w:p>
    <w:p>
      <w:pPr>
        <w:pStyle w:val="FirstParagraph"/>
      </w:pPr>
      <w:r>
        <w:rPr>
          <w:b/>
          <w:bCs/>
        </w:rPr>
        <w:t xml:space="preserve">Água corporal total (ACT):</w:t>
      </w:r>
      <w:r>
        <w:t xml:space="preserve"> </w:t>
      </w:r>
      <w:r>
        <w:t xml:space="preserve">homem ~0,6 × PC; mulher ~0,5 × PC; idosos −10% (~0,5 e 0,45).</w:t>
      </w:r>
      <w:r>
        <w:t xml:space="preserve"> </w:t>
      </w:r>
      <w:r>
        <w:rPr>
          <w:b/>
          <w:bCs/>
        </w:rPr>
        <w:t xml:space="preserve">Déficit de água livre = ACT × [(Na⁺/140) − 1]</w:t>
      </w:r>
      <w:r>
        <w:t xml:space="preserve"> </w:t>
      </w:r>
      <w:r>
        <w:t xml:space="preserve">Exemplo: homem, 70 kg, Na⁺ 160: ACT = 42 L → déficit = 42 × (160/140 − 1) =</w:t>
      </w:r>
      <w:r>
        <w:t xml:space="preserve"> </w:t>
      </w:r>
      <w:r>
        <w:rPr>
          <w:b/>
          <w:bCs/>
        </w:rPr>
        <w:t xml:space="preserve">6,0 L</w:t>
      </w:r>
      <w:r>
        <w:t xml:space="preserve">.</w:t>
      </w:r>
    </w:p>
    <w:bookmarkEnd w:id="67"/>
    <w:bookmarkStart w:id="68" w:name="condutas-1"/>
    <w:p>
      <w:pPr>
        <w:pStyle w:val="4"/>
      </w:pPr>
      <w:r>
        <w:t xml:space="preserve">9.3 Condutas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Velocidade:</w:t>
      </w:r>
      <w:r>
        <w:t xml:space="preserve"> </w:t>
      </w:r>
      <w:r>
        <w:t xml:space="preserve">Na⁺ crônico (&gt; 48h) ou de duração desconhecida — corrigir</w:t>
      </w:r>
      <w:r>
        <w:t xml:space="preserve"> </w:t>
      </w:r>
      <w:r>
        <w:rPr>
          <w:b/>
          <w:bCs/>
        </w:rPr>
        <w:t xml:space="preserve">≤ 10–12 mEq/L em 24h</w:t>
      </w:r>
      <w:r>
        <w:t xml:space="preserve"> </w:t>
      </w:r>
      <w:r>
        <w:t xml:space="preserve">(máx 0,5 mEq/L/h) — risco de</w:t>
      </w:r>
      <w:r>
        <w:t xml:space="preserve"> </w:t>
      </w:r>
      <w:r>
        <w:rPr>
          <w:b/>
          <w:bCs/>
        </w:rPr>
        <w:t xml:space="preserve">edema cerebral</w:t>
      </w:r>
      <w:r>
        <w:t xml:space="preserve"> </w:t>
      </w:r>
      <w:r>
        <w:t xml:space="preserve">(osmótico) com correção rápida. Hipernatremia aguda conhecida (ex.: sobrecarga de sódio) pode-se corrigir mais rápido (~1–2 mEq/L/h nas primeiras horas, orientado por neurologia/UTI).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Via de reposição:</w:t>
      </w:r>
      <w:r>
        <w:t xml:space="preserve"> </w:t>
      </w:r>
      <w:r>
        <w:t xml:space="preserve">preferir via oral/sonda (água livre ou solução com baixa carga osmolar); se IV: solução</w:t>
      </w:r>
      <w:r>
        <w:t xml:space="preserve"> </w:t>
      </w:r>
      <w:r>
        <w:rPr>
          <w:b/>
          <w:bCs/>
        </w:rPr>
        <w:t xml:space="preserve">5% glicose (água livre)</w:t>
      </w:r>
      <w:r>
        <w:t xml:space="preserve"> </w:t>
      </w:r>
      <w:r>
        <w:t xml:space="preserve">com cuidado em diabéticos (insulina concomitante) ou</w:t>
      </w:r>
      <w:r>
        <w:t xml:space="preserve"> </w:t>
      </w:r>
      <w:r>
        <w:rPr>
          <w:b/>
          <w:bCs/>
        </w:rPr>
        <w:t xml:space="preserve">NaCl 0,45%</w:t>
      </w:r>
      <w:r>
        <w:t xml:space="preserve"> </w:t>
      </w:r>
      <w:r>
        <w:t xml:space="preserve">se houver também déficit de volume moderado.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Conta operacional (Adrogué-Madias):</w:t>
      </w:r>
      <w:r>
        <w:t xml:space="preserve"> </w:t>
      </w:r>
      <w:r>
        <w:t xml:space="preserve">mudança estimada de Na⁺ após 1 L de infusado = (infusado − Na⁺ sérico) / (ACT + 1).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Farma:</w:t>
      </w:r>
      <w:r>
        <w:t xml:space="preserve"> </w:t>
      </w:r>
      <w:r>
        <w:t xml:space="preserve">desmopressina 1–2 mcg SC/IV se diabetes insipidus central confirmado (resposta ao teste com desmopressina: aumento de osmolaridade urinária &gt; 50–100%); nefro/gastroenterologia para DI nefrogênico (parar lítio, tratar hipercalemia).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Não farma:</w:t>
      </w:r>
      <w:r>
        <w:t xml:space="preserve"> </w:t>
      </w:r>
      <w:r>
        <w:t xml:space="preserve">suspender/ajustar drogas que causam DI ou desidratação (lítio, demeclociclina, diuréticos, laxantes, nutrição hipertônica); tratar a causa (febre, sonda, ventilação com umidificação).</w:t>
      </w:r>
    </w:p>
    <w:bookmarkEnd w:id="68"/>
    <w:bookmarkStart w:id="69" w:name="nuances-6"/>
    <w:p>
      <w:pPr>
        <w:pStyle w:val="4"/>
      </w:pPr>
      <w:r>
        <w:t xml:space="preserve">9.4 Nuances</w:t>
      </w:r>
    </w:p>
    <w:p>
      <w:pPr>
        <w:pStyle w:val="Compact"/>
        <w:numPr>
          <w:ilvl w:val="0"/>
          <w:numId w:val="1037"/>
        </w:numPr>
      </w:pPr>
      <w:r>
        <w:t xml:space="preserve">Erro clássico: esquecer de somar as</w:t>
      </w:r>
      <w:r>
        <w:t xml:space="preserve"> </w:t>
      </w:r>
      <w:r>
        <w:rPr>
          <w:b/>
          <w:bCs/>
        </w:rPr>
        <w:t xml:space="preserve">perdas continuadas</w:t>
      </w:r>
      <w:r>
        <w:t xml:space="preserve"> </w:t>
      </w:r>
      <w:r>
        <w:t xml:space="preserve">(febre, drenagens, ventilação) ao déficit calculado — o déficit é apenas o</w:t>
      </w:r>
      <w:r>
        <w:t xml:space="preserve"> </w:t>
      </w:r>
      <w:r>
        <w:t xml:space="preserve">“</w:t>
      </w:r>
      <w:r>
        <w:t xml:space="preserve">débito acumulado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Hipovolemia grave com hipernatremia: primeiro reanimar com NaCl 0,9% (restaura perfusão) e só depois repor água livre — o 0,9% é relativamente hipotônico para o paciente hipernatrêmico.</w:t>
      </w:r>
    </w:p>
    <w:p>
      <w:pPr>
        <w:pStyle w:val="Compact"/>
        <w:numPr>
          <w:ilvl w:val="0"/>
          <w:numId w:val="1037"/>
        </w:numPr>
      </w:pPr>
      <w:r>
        <w:t xml:space="preserve">Monitorar Na⁺ a cada 4–6h nas primeiras 24h.</w:t>
      </w:r>
    </w:p>
    <w:bookmarkEnd w:id="69"/>
    <w:bookmarkStart w:id="70" w:name="evidência-3"/>
    <w:p>
      <w:pPr>
        <w:pStyle w:val="4"/>
      </w:pPr>
      <w:r>
        <w:t xml:space="preserve">9.5 Evidência</w:t>
      </w:r>
    </w:p>
    <w:p>
      <w:pPr>
        <w:pStyle w:val="Compact"/>
        <w:numPr>
          <w:ilvl w:val="0"/>
          <w:numId w:val="1038"/>
        </w:numPr>
      </w:pPr>
      <w:r>
        <w:t xml:space="preserve">Adrogué HJ &amp; Madias NE.</w:t>
      </w:r>
      <w:r>
        <w:t xml:space="preserve"> 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2000;342:1493–1499 (fórmulas e velocidade); KDIGO/UpToDate-base; diretrizes de distúrbios eletrolíticos (ESICM/ACCF/AHA) 2018 (ver Hoorn EJ &amp; Zietse R).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reposição-de-potássio-hipocalemia"/>
    <w:p>
      <w:pPr>
        <w:pStyle w:val="3"/>
      </w:pPr>
      <w:r>
        <w:t xml:space="preserve">10. Reposição de Potássio (Hipocalemia)</w:t>
      </w:r>
    </w:p>
    <w:bookmarkStart w:id="72" w:name="identificação-e-propósito-clínico-8"/>
    <w:p>
      <w:pPr>
        <w:pStyle w:val="4"/>
      </w:pPr>
      <w:r>
        <w:t xml:space="preserve">10.1 Identificação e Propósito Clínico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Estratificar gravidade e guiar via, velocidade e monitorização da reposição de K⁺.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População:</w:t>
      </w:r>
      <w:r>
        <w:t xml:space="preserve"> </w:t>
      </w:r>
      <w:r>
        <w:t xml:space="preserve">Adultos com K⁺ &lt; 3,5 mEq/L.</w:t>
      </w:r>
      <w:r>
        <w:t xml:space="preserve"> </w:t>
      </w:r>
      <w:r>
        <w:rPr>
          <w:b/>
          <w:bCs/>
        </w:rPr>
        <w:t xml:space="preserve">Exclusão de via IV rápida:</w:t>
      </w:r>
      <w:r>
        <w:t xml:space="preserve"> </w:t>
      </w:r>
      <w:r>
        <w:t xml:space="preserve">função renal gravemente comprometida sem diálise (risco de hipercalemia iatrogênica — verificar diurese antes de repor agressivamente).</w:t>
      </w:r>
    </w:p>
    <w:bookmarkEnd w:id="72"/>
    <w:bookmarkStart w:id="73" w:name="estratificação-e-condutas"/>
    <w:p>
      <w:pPr>
        <w:pStyle w:val="4"/>
      </w:pPr>
      <w:r>
        <w:t xml:space="preserve">10.2 Estratificação e Condutas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K⁺ sérico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3,0–3,4 mEq/L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Leve, assintomático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VO:</w:t>
            </w:r>
            <w:r>
              <w:t xml:space="preserve"> </w:t>
            </w:r>
            <w:r>
              <w:t xml:space="preserve">KCl 40–100 mEq/dia fracionado (ex.: 20 mEq 2–3×/dia), ou dieta; reavaliar em 24–48h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2,5–2,9 mEq/L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 ou sintomas leves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 100–200 mEq/dia OU IV 10 mEq/h via periférica; corrigir Mg²⁺; ECG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2,5 mEq/L</w:t>
            </w:r>
            <w:r>
              <w:t xml:space="preserve"> </w:t>
            </w:r>
            <w:r>
              <w:rPr>
                <w:b/>
                <w:bCs/>
              </w:rPr>
              <w:t xml:space="preserve">ou ECG alterado</w:t>
            </w:r>
            <w:r>
              <w:t xml:space="preserve"> </w:t>
            </w:r>
            <w:r>
              <w:t xml:space="preserve">(achatamento de onda T, ST depressão, U waves, arritmias)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IV central: 10 mEq em 1h</w:t>
            </w:r>
            <w:r>
              <w:t xml:space="preserve"> </w:t>
            </w:r>
            <w:r>
              <w:t xml:space="preserve">(máx 20 mEq/h em monitorização intensiva com linha central); ECG contínuo; checar Mg²⁺ e repor (sulfato de magnésio 2 g IV se &lt; 1,8 mg/dL — sem magnésio, o K⁺ não entra na célula)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Farma (detalhe):</w:t>
      </w:r>
      <w:r>
        <w:t xml:space="preserve"> </w:t>
      </w:r>
      <w:r>
        <w:t xml:space="preserve">KCl VO em solução ou cápsulas (10–20% de solução); IV: cloreto de potássio</w:t>
      </w:r>
      <w:r>
        <w:t xml:space="preserve"> </w:t>
      </w:r>
      <w:r>
        <w:rPr>
          <w:b/>
          <w:bCs/>
        </w:rPr>
        <w:t xml:space="preserve">sempre diluído</w:t>
      </w:r>
      <w:r>
        <w:t xml:space="preserve"> </w:t>
      </w:r>
      <w:r>
        <w:t xml:space="preserve">— nunca em bolus puro (flebita grave, parada cardíaca). Máximo periférico: 10 mEq/L de solução a 10 mEq/h; em central, até 20 mEq/h (mais rápido apenas em parada — 10 mEq em 5 min sob RCP). Suspender temporariamente digoxina se hipocalemia + uso (toxicidade potencializada).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Não farma:</w:t>
      </w:r>
      <w:r>
        <w:t xml:space="preserve"> </w:t>
      </w:r>
      <w:r>
        <w:t xml:space="preserve">ECG seriado; monitorar função renal e diurese; investigar e tratar causa (diuréticos, vômitos, diarreia, alcalose, hipomagnesemia, amphotericina, corticoides, beta-agonistas).</w:t>
      </w:r>
    </w:p>
    <w:bookmarkEnd w:id="73"/>
    <w:bookmarkStart w:id="74" w:name="nuances-7"/>
    <w:p>
      <w:pPr>
        <w:pStyle w:val="4"/>
      </w:pPr>
      <w:r>
        <w:t xml:space="preserve">10.3 Nuances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Erro número 1:</w:t>
      </w:r>
      <w:r>
        <w:t xml:space="preserve"> </w:t>
      </w:r>
      <w:r>
        <w:t xml:space="preserve">repor K⁺ sem corrigir</w:t>
      </w:r>
      <w:r>
        <w:t xml:space="preserve"> </w:t>
      </w:r>
      <w:r>
        <w:rPr>
          <w:b/>
          <w:bCs/>
        </w:rPr>
        <w:t xml:space="preserve">magnésio</w:t>
      </w:r>
      <w:r>
        <w:t xml:space="preserve"> </w:t>
      </w:r>
      <w:r>
        <w:t xml:space="preserve">— hipomagnesemia refratária mantém a hipocalemia (Romney &amp; Tashjian).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Erro número 2:</w:t>
      </w:r>
      <w:r>
        <w:t xml:space="preserve"> </w:t>
      </w:r>
      <w:r>
        <w:t xml:space="preserve">não considerar alcalose — a alcalose metabólica desloca K⁺ para dentro da célula; tratar a alcalose (KCl é também tratamento).</w:t>
      </w:r>
    </w:p>
    <w:p>
      <w:pPr>
        <w:pStyle w:val="Compact"/>
        <w:numPr>
          <w:ilvl w:val="0"/>
          <w:numId w:val="1041"/>
        </w:numPr>
      </w:pPr>
      <w:r>
        <w:t xml:space="preserve">Paciente com IRC sem diálise: reposição conservadora (ex.: 10 mEq VO/IV lento com recontrole de 6h) — a margem de segurança é estreita.</w:t>
      </w:r>
    </w:p>
    <w:p>
      <w:pPr>
        <w:pStyle w:val="Compact"/>
        <w:numPr>
          <w:ilvl w:val="0"/>
          <w:numId w:val="1041"/>
        </w:numPr>
      </w:pPr>
      <w:r>
        <w:t xml:space="preserve">Beta-agonistas (salbutamol) e insulina deslocam K⁺ intracellularmente — podem mascarar o total corporal depletado.</w:t>
      </w:r>
    </w:p>
    <w:bookmarkEnd w:id="74"/>
    <w:bookmarkStart w:id="75" w:name="evidência-4"/>
    <w:p>
      <w:pPr>
        <w:pStyle w:val="4"/>
      </w:pPr>
      <w:r>
        <w:t xml:space="preserve">10.4 Evidência</w:t>
      </w:r>
    </w:p>
    <w:p>
      <w:pPr>
        <w:pStyle w:val="Compact"/>
        <w:numPr>
          <w:ilvl w:val="0"/>
          <w:numId w:val="1042"/>
        </w:numPr>
      </w:pPr>
      <w:r>
        <w:t xml:space="preserve">Evidência baseada em protocolos de prática e séries (não há RCT definidor de velocidade); base fisiológica e diretrizes de ACLS 2020 (hipercalemia/hipocalemia na RCP — American Heart Association); diretrizes de reposição eletrolítica ESICM/ACCF/AHA 2018 (Cohn JN et al.).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8" w:name="observações-finais-sobre-o-bloco-6"/>
    <w:p>
      <w:pPr>
        <w:pStyle w:val="2"/>
      </w:pPr>
      <w:r>
        <w:t xml:space="preserve">Observações Finais sobre o Bloco 6</w:t>
      </w:r>
    </w:p>
    <w:p>
      <w:pPr>
        <w:pStyle w:val="Compact"/>
        <w:numPr>
          <w:ilvl w:val="0"/>
          <w:numId w:val="1043"/>
        </w:numPr>
      </w:pPr>
      <w:r>
        <w:t xml:space="preserve">Os três critérios de LRA (RIFLE, AKIN, KDIGO) convergem; na prática contemporânea,</w:t>
      </w:r>
      <w:r>
        <w:t xml:space="preserve"> </w:t>
      </w:r>
      <w:r>
        <w:rPr>
          <w:b/>
          <w:bCs/>
        </w:rPr>
        <w:t xml:space="preserve">use KDIGO</w:t>
      </w:r>
      <w:r>
        <w:t xml:space="preserve"> </w:t>
      </w:r>
      <w:r>
        <w:t xml:space="preserve">— é o exigido por diretrizes e ensaios.</w:t>
      </w:r>
    </w:p>
    <w:p>
      <w:pPr>
        <w:pStyle w:val="Compact"/>
        <w:numPr>
          <w:ilvl w:val="0"/>
          <w:numId w:val="1043"/>
        </w:numPr>
      </w:pPr>
      <w:r>
        <w:t xml:space="preserve">As quatro equações renais respondem a</w:t>
      </w:r>
      <w:r>
        <w:t xml:space="preserve"> </w:t>
      </w:r>
      <w:r>
        <w:rPr>
          <w:b/>
          <w:bCs/>
        </w:rPr>
        <w:t xml:space="preserve">perguntas diferentes</w:t>
      </w:r>
      <w:r>
        <w:t xml:space="preserve">: CKD-EPI 2021 para estadiar DRC; Cockcroft-Gault para ajustar dose; MDRD é legado de bula;</w:t>
      </w:r>
      <w:r>
        <w:t xml:space="preserve"> </w:t>
      </w:r>
      <w:r>
        <w:rPr>
          <w:b/>
          <w:bCs/>
        </w:rPr>
        <w:t xml:space="preserve">nenhuma serve na LRA aguda ou na gravidez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No meio interno, o raciocínio é fisiológico e seriado: o valor absoluto importa menos que a</w:t>
      </w:r>
      <w:r>
        <w:t xml:space="preserve"> </w:t>
      </w:r>
      <w:r>
        <w:rPr>
          <w:b/>
          <w:bCs/>
        </w:rPr>
        <w:t xml:space="preserve">taxa de variação</w:t>
      </w:r>
      <w:r>
        <w:t xml:space="preserve"> </w:t>
      </w:r>
      <w:r>
        <w:t xml:space="preserve">e a correção de confundidores (albumina, glicemia, magnésio).</w:t>
      </w:r>
    </w:p>
    <w:p>
      <w:pPr>
        <w:pStyle w:val="FirstParagraph"/>
      </w:pPr>
      <w:r>
        <w:t xml:space="preserve">Aviso de Segurança: Este compilado técnico tem caráter exclusivamente educacional e de suporte à consulta médica informada. Escores prognósticos e calculadoras clínicas servem como subsídio à decisão clínica e não substituem o julgamento presencial individualizado do profissional assistente.</w:t>
      </w:r>
    </w:p>
    <w:p>
      <w:r>
        <w:pict>
          <v:rect style="width:0;height:1.5pt" o:hralign="center" o:hrstd="t" o:hr="t"/>
        </w:pict>
      </w:r>
    </w:p>
    <w:bookmarkEnd w:id="7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2026-09-22T06:23:48Z</dcterms:created>
  <dcterms:modified xsi:type="dcterms:W3CDTF">2026-09-22T06:23:48Z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7m5ptoomb4261vc20-1a0c7c21-da02-8907-8000-095990d4e5c7-20260922142348","ReservedCode1":"","ContentPropagator":"001191110108MACG2KBH8F20000","PropagateID":"d9e7m5ptoomb4261vc20-1a0c7c21-da02-8907-8000-095990d4e5c7-20260922142348","ReservedCode2":""}</vt:lpwstr>
  </property>
</Properties>
</file>