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Aviso de Segurança:</w:t>
      </w:r>
      <w:r>
        <w:t xml:space="preserve"> </w:t>
      </w:r>
      <w:r>
        <w:t xml:space="preserve">Este compilado técnico tem caráter exclusivamente educacional e de suporte à consulta médica informada. Escores prognósticos e calculadoras clínicas servem como subsídio à decisão clínica e não substituem o julgamento presencial individualizado do profissional assistente.</w:t>
      </w:r>
    </w:p>
    <w:p>
      <w:r>
        <w:pict>
          <v:rect style="width:0;height:1.5pt" o:hralign="center" o:hrstd="t" o:hr="t"/>
        </w:pict>
      </w:r>
    </w:p>
    <w:bookmarkStart w:id="20" w:name="etapa-1-tabela-sintética-panorâmica"/>
    <w:p>
      <w:pPr>
        <w:pStyle w:val="2"/>
      </w:pPr>
      <w:r>
        <w:t xml:space="preserve">ETAPA 1: TABELA SINTÉTICA PANORÂMICA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Nome do Score / Sigla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 Indicada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Parâmetros Principais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 Corte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Conduta Resumida (Farma e Não Farma)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/ Ano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NIHSS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Suspeita clínica de AVC isquêmico agudo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Consciência, olhos, campos visuais, face, motricidade (B/E), ataxia, sensibilidade, linguagem, disartria, negelect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0–4 leve; ≥15 grave (limite superior p/ lise na maioria das diretrizes)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Trombólise IV (alteplase/tenecteplase) ≤4,5 h; trombectomia mecânica até 24 h se grande defeito; PA alvo &lt;185/110 pré-lise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Brott et al., Stroke, 1989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Desfecho funcional pós-AVC (qualquer etiologia)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Dependência funcional global (0–6)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 = independência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 de desfecho, não de conduta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 1957; mod. van Swieten 1988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 de trombectomia em AVC isquêmico (TCNC)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regiões no território ACM; −1 por região isquêmica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 = núcleo isquêmico pequeno (favorável)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 + NIHSS alto + oclusão proximal M1 → trombectomia mecânica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Barber et al., Lancet 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ABCD2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 (AIVC) na emergência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Idade, PA, clínica, duração, 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 baixo; 4–5 moderado; 6–7 alto (risco 2 dias: 1% / 4% / 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Baixo: alta orientada + antiagregante; Alto: internação, RM, eco/ATC carotídea, dupla antiagregante em seleção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Johnston et al., Lancet 2007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Hemorragia intracerebral espontânea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GCS, volume (&gt;30 mL), HEV, local infratentorial, idade ≥80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mortalidade ~0%; ≥4 = mortalidade ~97%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fármaco vinculado à pontuação; escore guia prognóstico e intensidade de cuidado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Hemphill et al., Stroke 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Hunt-Hess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 aneurismática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clínico (cefaleia → coma)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= doença grave (mortalidade elevada)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Nimodipino 60 mg VO q4h ×21 dias (todas as classes); graus altos: UTI, EVD, tratamento endovascular precoce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 &amp; Hess, J Neurosurg 1968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WFNS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 aneurismática (uso cirúrgico)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 + déficit 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= prognóstico reservado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acima; guia timing de oclusão do aneurisma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WFNS Com., J Neurosurg 1988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 de Fisher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 (risco de vasoespasmo)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Padrão/presença de sangue na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Grau 3 = risco máximo de vasoespasmo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Hidratação e monitorização; não define fármaco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Fisher et al., Neurosurgery 1980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Fisher Modificada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 (risco de vasoespasmo)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Espessura do coágulo + HEV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risco ~38% de vasoespasmo sintomático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Vigilância de vasoespasmo: TCD seriado; nimodipino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Claassen et al., Stroke 2001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Spetzler-Martin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 cerebral candidata a cirurgia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Tamanho, eloquência, drenagem venosa profunda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Grau 4–5 = alto risco cirúrgico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Grau baixo: ressecção cirúrgica; intermediário: analise individual; alto: radioss cirurgia estereotática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Spetzler &amp; Martin, J Neurosurg 1986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Marshall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(avaliação tomográfica)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Lesão difusa I–IV vs lesão evacuada V / não evacuada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IV–VI = risco de 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Escalonamento de monitorização de PIC; osmoterapia se 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Marshall et al., Neurosurgery 1991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Rotterdam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moderado-grave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Cisternas basais, desvio de linha média, HEV/HSA traumática, 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 = mortalidade ~50–60%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Escore tomográfico associado a decisão de monitorização invasiva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Maas et al., J Neurosurg 2005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ASIA (AIS)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 raquimedular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neurológico, chave sacral, força motora 0–5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completo (sem poupança sacral); D =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fármaco vinculado; define reabilitação, estabilidade cirúrgica, prevenção de complicações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ASIA, 1982 (atualiz. ISNCSCI)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Karnofsky (KPS)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oncológica/neurológica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Atividade, autocuidado, necessidade de assistência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 = não autossuficiente; guia de oncologia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de elegibilidade terapêutica, não conduta direta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Karnofsky &amp; Burchenal 1948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MEEM (MMSE)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Rastreio de declínio cognitivo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Orientação, registro, cálculo, evocação, linguagem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&lt;24–28 conforme escolaridade (BR: analfabeto &lt;20; ≥9 anos &lt;28)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Positivo → investigação etiológica (exames, neuroimagem)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Folstein et al., J Psychiatr Res 1975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 cognitivo leve / demência incipiente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domínios cognitivos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&lt;26 positivo (+1 se ≤12 anos de estudo)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MEEM; mais sensível para DCL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Nasreddine et al., JAGS 2005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Hoehn &amp; Yahr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Doença de Parkinson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Estágio motor unilateral → bilateral → instabilidade → cadeira de rodas/cama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 = instabilidade postural 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de indicação de DBS e terapia avançada; ajuste dopaminérgico por estágio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Hoehn &amp; Yahr, Neurology 1967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Esclerose múltipla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sistemas funcionais + marcha (0–10, passos de 0,5)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≥6,0 = necessita auxílio unilateral p/ marcha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de terapias modificadoras de alta eficácia em doença agressiva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Kurtzke, Neurology 1983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3" w:name="etapa-2-análise-monográfica-profunda"/>
    <w:p>
      <w:pPr>
        <w:pStyle w:val="2"/>
      </w:pPr>
      <w:r>
        <w:t xml:space="preserve">ETAPA 2: ANÁLISE MONOGRÁFICA PROFUNDA</w:t>
      </w:r>
    </w:p>
    <w:p>
      <w:r>
        <w:pict>
          <v:rect style="width:0;height:1.5pt" o:hralign="center" o:hrstd="t" o:hr="t"/>
        </w:pict>
      </w:r>
    </w:p>
    <w:bookmarkStart w:id="21" w:name="X275e55599d37f64e728433daead6bd88fa9039e"/>
    <w:p>
      <w:pPr>
        <w:pStyle w:val="3"/>
      </w:pPr>
      <w:r>
        <w:t xml:space="preserve">1. NIHSS — National Institutes of Health Stroke Scale</w:t>
      </w:r>
    </w:p>
    <w:p>
      <w:pPr>
        <w:pStyle w:val="FirstParagraph"/>
      </w:pPr>
      <w:r>
        <w:rPr>
          <w:b/>
          <w:bCs/>
        </w:rPr>
        <w:t xml:space="preserve">1. Identificação e Propósito Clínico</w:t>
      </w:r>
      <w:r>
        <w:t xml:space="preserve"> </w:t>
      </w:r>
      <w:r>
        <w:t xml:space="preserve">- Nome: NIH Stroke Scale; Brott et al.,</w:t>
      </w:r>
      <w:r>
        <w:t xml:space="preserve"> </w:t>
      </w:r>
      <w:r>
        <w:rPr>
          <w:i/>
          <w:iCs/>
        </w:rPr>
        <w:t xml:space="preserve">Stroke</w:t>
      </w:r>
      <w:r>
        <w:t xml:space="preserve">, 1989 (validada e difundida pelo NINDS).</w:t>
      </w:r>
      <w:r>
        <w:t xml:space="preserve"> </w:t>
      </w:r>
      <w:r>
        <w:t xml:space="preserve">- Objetivo: quantificação padronizada da gravidade neurológica do AVC agudo; triagem para trombólise/trombectomia e acompanhamento seriado (muito usado como desfecho secundário em ensaios).</w:t>
      </w:r>
      <w:r>
        <w:t xml:space="preserve"> </w:t>
      </w:r>
      <w:r>
        <w:t xml:space="preserve">- População: adultos com suspeita clínica de AVC; não validada em pediatria. Exclusões práticas: afasia global severa impede itens verbais (pontua-se o que é testável); prejuízo de consciência impede avaliação completa.</w:t>
      </w:r>
    </w:p>
    <w:p>
      <w:pPr>
        <w:pStyle w:val="a0"/>
      </w:pPr>
      <w:r>
        <w:rPr>
          <w:b/>
          <w:bCs/>
        </w:rPr>
        <w:t xml:space="preserve">2. Parâmetros e Atribuição de Pontos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 Nível de consciência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Alerta; sonolento; estupor; coma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 Perguntas (mês, 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 Ordens (fechar/olhar/abrir mão)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Olhos (gaze)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Normal; parcial; forçado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Campos visuais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Normal; parcial; hemianopsia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Paralisia facial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Normal; mínima; parcial;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5a/5b Motricidade braço D/E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deriva; deriva antes 10 s; não resiste gravidade; sem movimento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0–4 (cada)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6a/6b Motricidade perna D/E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0–4 (cada)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Ataxia (dedo-nariz/calcanhar-joelho)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Ausente; um membro; dois 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Sensibilidade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Normal; parcial;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Linguagem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Normal; afasia leve; afasia grave; mudo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Disartria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Normal; leve;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Extinção/inatenção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Normal; um modalidade; profunda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</w:t>
            </w:r>
          </w:p>
        </w:tc>
      </w:tr>
    </w:tbl>
    <w:p>
      <w:pPr>
        <w:pStyle w:val="a0"/>
      </w:pPr>
      <w:r>
        <w:rPr>
          <w:b/>
          <w:bCs/>
        </w:rPr>
        <w:t xml:space="preserve">Intervalo total: 0 a 42.</w:t>
      </w:r>
    </w:p>
    <w:p>
      <w:pPr>
        <w:pStyle w:val="a0"/>
      </w:pPr>
      <w:r>
        <w:rPr>
          <w:b/>
          <w:bCs/>
        </w:rPr>
        <w:t xml:space="preserve">3. Estratificação de Risco e Condutas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Desfecho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déficit mensurável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trombólise por déficit; investigar causas miméticas; alta com orientação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1–4 (leve)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 recuperação espontânea na maioria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Reavaliação seriada; se déficit incapacitante (ex.: afasia) mesmo com NIHSS baixo, lise pode ser considerada caso a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5–15 (moderado)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Recuperação 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Trombólise IV se ≤4,5 h e sem contraindicação; imagem vascular (angio-TC)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16–20 (moderado-grave)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risco de dependência (mRS ≥3)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Trombólise; avaliar oclusão de grande vaso → trombectomia mecânica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21–42 (grave)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Mortalidade/dependência elevadas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Trombectomia se oclusão proximal; lise IV considerada se &lt;25 pela maioria das diretrizes (janela e seleção de imagem modernas ampliaram esta indicação)</w:t>
            </w:r>
          </w:p>
        </w:tc>
      </w:tr>
    </w:tbl>
    <w:p>
      <w:pPr>
        <w:pStyle w:val="a0"/>
      </w:pPr>
      <w:r>
        <w:rPr>
          <w:b/>
          <w:bCs/>
        </w:rPr>
        <w:t xml:space="preserve">A. Desfecho estatístico:</w:t>
      </w:r>
      <w:r>
        <w:t xml:space="preserve"> </w:t>
      </w:r>
      <w:r>
        <w:t xml:space="preserve">NIHSS inicial correlaciona-se com mRS a 90 dias; queda ≥4 pontos em 24 h ou NIHSS 0–1 a 24 h define</w:t>
      </w:r>
      <w:r>
        <w:t xml:space="preserve"> </w:t>
      </w:r>
      <w:r>
        <w:t xml:space="preserve">“</w:t>
      </w:r>
      <w:r>
        <w:t xml:space="preserve">excelente recuperação</w:t>
      </w:r>
      <w:r>
        <w:t xml:space="preserve">”</w:t>
      </w:r>
      <w:r>
        <w:t xml:space="preserve"> </w:t>
      </w:r>
      <w:r>
        <w:t xml:space="preserve">nos ensaios.</w:t>
      </w:r>
    </w:p>
    <w:p>
      <w:pPr>
        <w:pStyle w:val="a0"/>
      </w:pPr>
      <w:r>
        <w:rPr>
          <w:b/>
          <w:bCs/>
        </w:rPr>
        <w:t xml:space="preserve">B. Conduta farmacológica: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Alteplase IV</w:t>
      </w:r>
      <w:r>
        <w:t xml:space="preserve"> </w:t>
      </w:r>
      <w:r>
        <w:t xml:space="preserve">(rTPA): 0,9 mg/kg (máx. 90 mg); 10% em bolus em 1 min, restante em 60 min. Janela ≤4,5 h do início dos sintomas (3 h com indicação absoluta; 3–4,5 h conforme critérios).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Tenecteplase IV</w:t>
      </w:r>
      <w:r>
        <w:t xml:space="preserve">: 0,25 mg/kg (máx. 25 mg) em bolus único — não inferioridade demonstrada em ensaios (EXTEND-IA TNK; AcT) e prática preferida antes de trombectomia em muitos serviços.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</w:t>
      </w:r>
      <w:r>
        <w:t xml:space="preserve">: tratar se ≥185/110 mmHg antes da lise (nicardipina EV ou urapidil/labetalol); manter &lt;180/105 mmHg nas primeiras 24 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Antiagregante</w:t>
      </w:r>
      <w:r>
        <w:t xml:space="preserve">: aspirina 300 mg VO após 24 h excluída hemorragia (AHA/ACC); sem antiagregante nas primeiras 24 h pós-lise.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Anticoagulação:</w:t>
      </w:r>
      <w:r>
        <w:t xml:space="preserve"> </w:t>
      </w:r>
      <w:r>
        <w:t xml:space="preserve">início retardado pós-AVC cardioembólico (em geral dia 4–14 conforme tamanho do infarto); não há protocolo vinculado ao NIHSS.</w:t>
      </w:r>
      <w:r>
        <w:t xml:space="preserve"> </w:t>
      </w:r>
      <w:r>
        <w:t xml:space="preserve">- Contraindicações absolutas à lise: hemorragia intracraniana ativa, PAS &gt;185/PAD &gt;110 de difícil controle, anticoagulação recente com DOAC (48 h), plaquetas &lt;100.000, glicemia &lt;50 ou &gt;400 mg/dL como causa alternativa, cirurgia recente, sangramento ativo. Ajuste renal: alteplase não exige ajuste por ClCr, mas relato recente de DOAC exige função renal normal como garantia de washout.</w:t>
      </w:r>
    </w:p>
    <w:p>
      <w:pPr>
        <w:pStyle w:val="a0"/>
      </w:pPr>
      <w:r>
        <w:rPr>
          <w:b/>
          <w:bCs/>
        </w:rPr>
        <w:t xml:space="preserve">C. Não medicamentosa/intervencionista:</w:t>
      </w:r>
      <w:r>
        <w:t xml:space="preserve"> </w:t>
      </w:r>
      <w:r>
        <w:t xml:space="preserve">Angio-TC/RM angiográfica imediata; trombectomia mecânica se oclusão intracraniana proximal (carotídea interna terminal, M1, selecionados M2/A2) até 24 h (DAWN/DEFUSE 3: seleção por difusão-perfusão ou</w:t>
      </w:r>
      <w:r>
        <w:t xml:space="preserve"> </w:t>
      </w:r>
      <w:r>
        <w:t xml:space="preserve">“</w:t>
      </w:r>
      <w:r>
        <w:t xml:space="preserve">mismatch</w:t>
      </w:r>
      <w:r>
        <w:t xml:space="preserve">”</w:t>
      </w:r>
      <w:r>
        <w:t xml:space="preserve"> </w:t>
      </w:r>
      <w:r>
        <w:t xml:space="preserve">clínico-radiológico); UTI para NIHSS &gt;9 com comprometimento de via aérea; prevenção de complicações (pneumonia, DVT — profilaxia mecânica desde admissão, farmacológica após 24–48 h se sem hemorragia); deglutição avaliada antes de oferecer dieta (teste de deglutição ou sonda).</w:t>
      </w:r>
    </w:p>
    <w:p>
      <w:pPr>
        <w:pStyle w:val="a0"/>
      </w:pPr>
      <w:r>
        <w:rPr>
          <w:b/>
          <w:bCs/>
        </w:rPr>
        <w:t xml:space="preserve">4. Nuances e pegadinhas:</w:t>
      </w:r>
      <w:r>
        <w:t xml:space="preserve"> </w:t>
      </w:r>
      <w:r>
        <w:t xml:space="preserve">subjetividade em ataxia, sensibilidade e inatenção (viés interobservador moderado); pontuação artefatualmente baixa em hemianopsia isolada, vertigem (síndrome de Wallenberg) e AVC do hemisfério não dominante —</w:t>
      </w:r>
      <w:r>
        <w:t xml:space="preserve"> </w:t>
      </w:r>
      <w:r>
        <w:t xml:space="preserve">“</w:t>
      </w:r>
      <w:r>
        <w:t xml:space="preserve">stroke chameleons</w:t>
      </w:r>
      <w:r>
        <w:t xml:space="preserve">”</w:t>
      </w:r>
      <w:r>
        <w:t xml:space="preserve">; pontuação em afasia: aplicador treinado reduz erro; NIHSS não avalia posterior e não substitui imagem; NIHSS alto com imagem sem lesão → investigar mimetismo.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Brott T et al. </w:t>
      </w:r>
      <w:r>
        <w:rPr>
          <w:i/>
          <w:iCs/>
        </w:rPr>
        <w:t xml:space="preserve">Stroke</w:t>
      </w:r>
      <w:r>
        <w:t xml:space="preserve"> </w:t>
      </w:r>
      <w:r>
        <w:t xml:space="preserve">1989; NINDS tPA trial,</w:t>
      </w:r>
      <w:r>
        <w:t xml:space="preserve"> </w:t>
      </w:r>
      <w:r>
        <w:rPr>
          <w:i/>
          <w:iCs/>
        </w:rPr>
        <w:t xml:space="preserve">NEJM</w:t>
      </w:r>
      <w:r>
        <w:t xml:space="preserve"> </w:t>
      </w:r>
      <w:r>
        <w:t xml:space="preserve">1995; ECASS III (</w:t>
      </w:r>
      <w:r>
        <w:rPr>
          <w:i/>
          <w:iCs/>
        </w:rPr>
        <w:t xml:space="preserve">NEJM</w:t>
      </w:r>
      <w:r>
        <w:t xml:space="preserve"> </w:t>
      </w:r>
      <w:r>
        <w:t xml:space="preserve">2008); DAWN (</w:t>
      </w:r>
      <w:r>
        <w:rPr>
          <w:i/>
          <w:iCs/>
        </w:rPr>
        <w:t xml:space="preserve">NEJM</w:t>
      </w:r>
      <w:r>
        <w:t xml:space="preserve"> </w:t>
      </w:r>
      <w:r>
        <w:t xml:space="preserve">2018); DEFUSE 3 (</w:t>
      </w:r>
      <w:r>
        <w:rPr>
          <w:i/>
          <w:iCs/>
        </w:rPr>
        <w:t xml:space="preserve">NEJM</w:t>
      </w:r>
      <w:r>
        <w:t xml:space="preserve"> </w:t>
      </w:r>
      <w:r>
        <w:t xml:space="preserve">2018); AcT trial (</w:t>
      </w:r>
      <w:r>
        <w:rPr>
          <w:i/>
          <w:iCs/>
        </w:rPr>
        <w:t xml:space="preserve">Lancet</w:t>
      </w:r>
      <w:r>
        <w:t xml:space="preserve"> </w:t>
      </w:r>
      <w:r>
        <w:t xml:space="preserve">2022); Diretrizes AHA/ACC AVC 2019 (atualização 2023–2025).</w:t>
      </w:r>
    </w:p>
    <w:p>
      <w:r>
        <w:pict>
          <v:rect style="width:0;height:1.5pt" o:hralign="center" o:hrstd="t" o:hr="t"/>
        </w:pict>
      </w:r>
    </w:p>
    <w:bookmarkEnd w:id="21"/>
    <w:bookmarkStart w:id="22" w:name="escala-abcd2"/>
    <w:p>
      <w:pPr>
        <w:pStyle w:val="3"/>
      </w:pPr>
      <w:r>
        <w:t xml:space="preserve">2. Escala ABCD2</w:t>
      </w:r>
    </w:p>
    <w:p>
      <w:pPr>
        <w:pStyle w:val="FirstParagraph"/>
      </w:pPr>
      <w:r>
        <w:rPr>
          <w:b/>
          <w:bCs/>
        </w:rPr>
        <w:t xml:space="preserve">1. Identificação:</w:t>
      </w:r>
      <w:r>
        <w:t xml:space="preserve"> </w:t>
      </w:r>
      <w:r>
        <w:t xml:space="preserve">Johnston SC et al.,</w:t>
      </w:r>
      <w:r>
        <w:t xml:space="preserve"> </w:t>
      </w:r>
      <w:r>
        <w:rPr>
          <w:i/>
          <w:iCs/>
        </w:rPr>
        <w:t xml:space="preserve">Lancet</w:t>
      </w:r>
      <w:r>
        <w:t xml:space="preserve"> </w:t>
      </w:r>
      <w:r>
        <w:t xml:space="preserve">2007 (derivação/validação a partir de pooled cohorts). Propósito: estratificar risco de AVC após TIA, guiando disposição na emergência. População: adultos com TIA definida (deficit neurológico focal transitório &lt;24 h, sem infarto estabelecido em imagem — nota: se infarto em difusão, classifica-se como AVC menor e não TIA no paradigma atual).</w:t>
      </w:r>
    </w:p>
    <w:p>
      <w:pPr>
        <w:pStyle w:val="a0"/>
      </w:pPr>
      <w:r>
        <w:rPr>
          <w:b/>
          <w:bCs/>
        </w:rPr>
        <w:t xml:space="preserve">2. Parâmetros: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Idade ≥60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PA ≥140/90 mmHg (medida ≥1×)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Fraqueza unilateral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Alteração da fala sem fraqueza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Duração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10–59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Diabetes mellitus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a0"/>
      </w:pPr>
      <w:r>
        <w:rPr>
          <w:b/>
          <w:bCs/>
        </w:rPr>
        <w:t xml:space="preserve">Intervalo: 0–7.</w:t>
      </w:r>
    </w:p>
    <w:p>
      <w:pPr>
        <w:pStyle w:val="a0"/>
      </w:pPr>
      <w:r>
        <w:rPr>
          <w:b/>
          <w:bCs/>
        </w:rPr>
        <w:t xml:space="preserve">3. Estratificação e condutas: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de AVC (2 dias / 7 dias / 90 dias)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0–3 (baixo)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~1% / ~1,2% / ~3%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hospitalar ou clínica de TIA precoce (≤24–48 h); início de antiagregante; ecocardiograma + Doppler/angio carotídeo na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4–5 (moderado)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~4% / ~10% / ~9,8%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≥24 h ou admissão conforme recursos; RM cerebral + Doppler carotídeo em 24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6–7 (alto)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~8% / ~18% / ~18%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Admissão hospitalar, monitorização, RM/angio, avaliação de trombectomia/carotídea se estenose</w:t>
            </w:r>
          </w:p>
        </w:tc>
      </w:tr>
    </w:tbl>
    <w:p>
      <w:pPr>
        <w:pStyle w:val="a0"/>
      </w:pPr>
      <w:r>
        <w:rPr>
          <w:b/>
          <w:bCs/>
        </w:rPr>
        <w:t xml:space="preserve">B. Conduta farmacológica (não vinculada à pontuação, mas à etiologia):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Antiaggregante:</w:t>
      </w:r>
      <w:r>
        <w:t xml:space="preserve"> </w:t>
      </w:r>
      <w:r>
        <w:t xml:space="preserve">aspirina 300 mg (dose de ataque) → 75–100 mg/dia; ou clopidogrel 300–600 mg → 75 mg/dia. TIA com estenose carotídea sintomática grave: dupla antiagregação (aspirina + clopidogrel) por 21 dias (CHANCE/POINT) reduz recorrência — melhor benefício nas primeiras 24 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Estatinas de alta potência:</w:t>
      </w:r>
      <w:r>
        <w:t xml:space="preserve"> </w:t>
      </w:r>
      <w:r>
        <w:t xml:space="preserve">atorvastatina 80 mg/dia (SPARCL) ou rosuvastatina, independente de colesterol basal, na suspeita aterosclerótica.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Anticoagulação</w:t>
      </w:r>
      <w:r>
        <w:t xml:space="preserve"> </w:t>
      </w:r>
      <w:r>
        <w:t xml:space="preserve">se FA documentada (após excluir hemorragia): DOAC preferido.</w:t>
      </w:r>
      <w:r>
        <w:t xml:space="preserve"> </w:t>
      </w:r>
      <w:r>
        <w:t xml:space="preserve">- Ajuste renal: clopidogrel sem ajuste; eptifibatido/tirofibam (dupla plaquetária IV em TIA/AVC menor de alto risco) exigem ClCr — eptifibatida evitar se ClCr &lt;50 mL/min.</w:t>
      </w:r>
    </w:p>
    <w:p>
      <w:pPr>
        <w:pStyle w:val="a0"/>
      </w:pPr>
      <w:r>
        <w:rPr>
          <w:b/>
          <w:bCs/>
        </w:rPr>
        <w:t xml:space="preserve">C. Não medicamentosa:</w:t>
      </w:r>
      <w:r>
        <w:t xml:space="preserve"> </w:t>
      </w:r>
      <w:r>
        <w:t xml:space="preserve">disposição conforme faixa acima; exames discriminantes: RM com difusão (diferencia TIA de infarto silente), angio-RM/TC, Doppler de carotídeas e vértebro-basilar, ECG seriado/monitorização Holter, ecocardiograma (se forame oval, valvopatia, cardiopatia embolígena); janela de reavaliação clínica em 24–48 h para baixo risco.</w:t>
      </w:r>
    </w:p>
    <w:p>
      <w:pPr>
        <w:pStyle w:val="a0"/>
      </w:pPr>
      <w:r>
        <w:rPr>
          <w:b/>
          <w:bCs/>
        </w:rPr>
        <w:t xml:space="preserve">4. Nuances:</w:t>
      </w:r>
      <w:r>
        <w:t xml:space="preserve"> </w:t>
      </w:r>
      <w:r>
        <w:t xml:space="preserve">sensibilidade limitada — metade dos AVCs precoces ocorre em ABCD2 baixo; fraqueza e duração dominam a pontuação; escore criado antes da era da imagem moderna (ABCD2-I adiciona infarto em difusão e estenose carotídea). Erro comum: usar ABCD2 para decidir antiagregante (ele decide disposição, não tratamento). Não validado em pediatria; desempenho inferior em populações não ocidentais em alguns estudos.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Johnston</w:t>
      </w:r>
      <w:r>
        <w:t xml:space="preserve"> </w:t>
      </w:r>
      <w:r>
        <w:rPr>
          <w:i/>
          <w:iCs/>
        </w:rPr>
        <w:t xml:space="preserve">Lancet</w:t>
      </w:r>
      <w:r>
        <w:t xml:space="preserve"> </w:t>
      </w:r>
      <w:r>
        <w:t xml:space="preserve">2007; CHANCE (</w:t>
      </w:r>
      <w:r>
        <w:rPr>
          <w:i/>
          <w:iCs/>
        </w:rPr>
        <w:t xml:space="preserve">NEJM</w:t>
      </w:r>
      <w:r>
        <w:t xml:space="preserve"> </w:t>
      </w:r>
      <w:r>
        <w:t xml:space="preserve">2013); POINT (</w:t>
      </w:r>
      <w:r>
        <w:rPr>
          <w:i/>
          <w:iCs/>
        </w:rPr>
        <w:t xml:space="preserve">NEJM</w:t>
      </w:r>
      <w:r>
        <w:t xml:space="preserve"> </w:t>
      </w:r>
      <w:r>
        <w:t xml:space="preserve">2018); SPARCL (</w:t>
      </w:r>
      <w:r>
        <w:rPr>
          <w:i/>
          <w:iCs/>
        </w:rPr>
        <w:t xml:space="preserve">NEJM</w:t>
      </w:r>
      <w:r>
        <w:t xml:space="preserve"> </w:t>
      </w:r>
      <w:r>
        <w:t xml:space="preserve">2006); AHA/ACC Guideline TIA/Stroke 2021.</w:t>
      </w:r>
    </w:p>
    <w:p>
      <w:r>
        <w:pict>
          <v:rect style="width:0;height:1.5pt" o:hralign="center" o:hrstd="t" o:hr="t"/>
        </w:pict>
      </w:r>
    </w:p>
    <w:bookmarkEnd w:id="22"/>
    <w:bookmarkStart w:id="23" w:name="ich-score"/>
    <w:p>
      <w:pPr>
        <w:pStyle w:val="3"/>
      </w:pPr>
      <w:r>
        <w:t xml:space="preserve">3. ICH Score</w:t>
      </w:r>
    </w:p>
    <w:p>
      <w:pPr>
        <w:pStyle w:val="FirstParagraph"/>
      </w:pPr>
      <w:r>
        <w:rPr>
          <w:b/>
          <w:bCs/>
        </w:rPr>
        <w:t xml:space="preserve">1. Identificação:</w:t>
      </w:r>
      <w:r>
        <w:t xml:space="preserve"> </w:t>
      </w:r>
      <w:r>
        <w:t xml:space="preserve">Hemphill JC III et al.,</w:t>
      </w:r>
      <w:r>
        <w:t xml:space="preserve"> </w:t>
      </w:r>
      <w:r>
        <w:rPr>
          <w:i/>
          <w:iCs/>
        </w:rPr>
        <w:t xml:space="preserve">Stroke</w:t>
      </w:r>
      <w:r>
        <w:t xml:space="preserve"> </w:t>
      </w:r>
      <w:r>
        <w:t xml:space="preserve">2001 (derivado na UCSF; validado amplamente). Propósito: prognóstico de mortalidade em 30 dias na hemorragia intracerebral espontânea. População: adultos com HIC espontânea (hipertensiva, amiloide, anticoagulante); exclui hemorragia traumática e secundária a lesão ocupante de espaço.</w:t>
      </w:r>
    </w:p>
    <w:p>
      <w:pPr>
        <w:pStyle w:val="a0"/>
      </w:pPr>
      <w:r>
        <w:rPr>
          <w:b/>
          <w:bCs/>
        </w:rPr>
        <w:t xml:space="preserve">2. Parâmetros: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/ 5–12 / 13–15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intraparenquimatoso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Hemorragia intraventricular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Infratentorial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a0"/>
      </w:pPr>
      <w:r>
        <w:rPr>
          <w:b/>
          <w:bCs/>
        </w:rPr>
        <w:t xml:space="preserve">Intervalo: 0–6.</w:t>
      </w:r>
      <w:r>
        <w:t xml:space="preserve"> </w:t>
      </w:r>
      <w:r>
        <w:t xml:space="preserve">Volume calculado pela fórmula ABC/2 (AxBxC/2).</w:t>
      </w:r>
    </w:p>
    <w:p>
      <w:pPr>
        <w:pStyle w:val="a0"/>
      </w:pPr>
      <w:r>
        <w:rPr>
          <w:b/>
          <w:bCs/>
        </w:rPr>
        <w:t xml:space="preserve">3. Estratificação (mortalidade a 30 dias, coorte original):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~100%</w:t>
            </w:r>
          </w:p>
        </w:tc>
      </w:tr>
    </w:tbl>
    <w:p>
      <w:pPr>
        <w:pStyle w:val="a0"/>
      </w:pPr>
      <w:r>
        <w:rPr>
          <w:b/>
          <w:bCs/>
        </w:rPr>
        <w:t xml:space="preserve">B. Conduta farmacológica:</w:t>
      </w:r>
      <w:r>
        <w:t xml:space="preserve"> </w:t>
      </w:r>
      <w:r>
        <w:t xml:space="preserve">nenhum fármaco é indicado pela pontuação em si. O escore orienta intensidade de cuidado e diálogo prognóstico. A conduta medicamentosa da HIC segue princípios independentes do escore: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Reversão de anticoagulação:</w:t>
      </w:r>
      <w:r>
        <w:t xml:space="preserve"> </w:t>
      </w:r>
      <w:r>
        <w:t xml:space="preserve">vitamina K 10 mg EV + complexo protrombínico (PCC) 50 UI/kg se warfarina; idarucizumabe 5 g EV se dabigatrano; andexanet alfa ou PCC se anti-Xa; plaquetas conforme função plaquetária em usuários de antiagregantes (evidência controversa — PATCH).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Controle de PA:</w:t>
      </w:r>
      <w:r>
        <w:t xml:space="preserve"> </w:t>
      </w:r>
      <w:r>
        <w:t xml:space="preserve">alvo sistólico ~130–140 mmHg nos primeiros 6–24 h (INTERACT2, ATACH-II).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Osmoterapia (manitol ou hipertono)</w:t>
      </w:r>
      <w:r>
        <w:t xml:space="preserve"> </w:t>
      </w:r>
      <w:r>
        <w:t xml:space="preserve">para HIC clinicamente significativa ou herniação — não preventiva.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Antiepilépticos:</w:t>
      </w:r>
      <w:r>
        <w:t xml:space="preserve"> </w:t>
      </w:r>
      <w:r>
        <w:t xml:space="preserve">levetiracetam 500–1000 mg VO/EV q12h se convulsão documentada ou risco muito alto; profilaxia universal não recomendada.</w:t>
      </w:r>
      <w:r>
        <w:t xml:space="preserve"> </w:t>
      </w:r>
      <w:r>
        <w:t xml:space="preserve">- D-dimer? Não. Antibiótico profilático? Não.</w:t>
      </w:r>
    </w:p>
    <w:p>
      <w:pPr>
        <w:pStyle w:val="a0"/>
      </w:pPr>
      <w:r>
        <w:rPr>
          <w:b/>
          <w:bCs/>
        </w:rPr>
        <w:t xml:space="preserve">C. Não medicamentosa:</w:t>
      </w:r>
      <w:r>
        <w:t xml:space="preserve"> </w:t>
      </w:r>
      <w:r>
        <w:t xml:space="preserve">UTI para pontuação ≥2 ou GCS ≤8; neurocirurgia (evacuação, drenagem ventricular) conforme localização, volume e deterioração — EVD para hidrocefalia com HEV; limitação/suspensão de cuidados em pontuação máxima após diálogo familiar informado (atenção ao viés autorrealizador: 100% de mortalidade pode refletir retirada de suporte, não biologia inevitável).</w:t>
      </w:r>
    </w:p>
    <w:p>
      <w:pPr>
        <w:pStyle w:val="a0"/>
      </w:pPr>
      <w:r>
        <w:rPr>
          <w:b/>
          <w:bCs/>
        </w:rPr>
        <w:t xml:space="preserve">4. Nuances:</w:t>
      </w:r>
      <w:r>
        <w:t xml:space="preserve"> </w:t>
      </w:r>
      <w:r>
        <w:t xml:space="preserve">não inclui causa etiológica nem localização supratentorial profunda vs. lobar (prova modificada inclui); o uso em decisões de</w:t>
      </w:r>
      <w:r>
        <w:t xml:space="preserve"> </w:t>
      </w:r>
      <w:r>
        <w:t xml:space="preserve">“</w:t>
      </w:r>
      <w:r>
        <w:t xml:space="preserve">cuidados confortativos</w:t>
      </w:r>
      <w:r>
        <w:t xml:space="preserve">”</w:t>
      </w:r>
      <w:r>
        <w:t xml:space="preserve"> </w:t>
      </w:r>
      <w:r>
        <w:t xml:space="preserve">precoce é criticado; superestima mortalidade quando aplicado após retirada de suporte; GCS pós-intubação precisa registrar motor melhor interpretável.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Hemphill</w:t>
      </w:r>
      <w:r>
        <w:t xml:space="preserve"> </w:t>
      </w:r>
      <w:r>
        <w:rPr>
          <w:i/>
          <w:iCs/>
        </w:rPr>
        <w:t xml:space="preserve">Stroke</w:t>
      </w:r>
      <w:r>
        <w:t xml:space="preserve"> </w:t>
      </w:r>
      <w:r>
        <w:t xml:space="preserve">2001; INTERACT2 (</w:t>
      </w:r>
      <w:r>
        <w:rPr>
          <w:i/>
          <w:iCs/>
        </w:rPr>
        <w:t xml:space="preserve">Lancet</w:t>
      </w:r>
      <w:r>
        <w:t xml:space="preserve"> </w:t>
      </w:r>
      <w:r>
        <w:t xml:space="preserve">2013); ATACH-II (</w:t>
      </w:r>
      <w:r>
        <w:rPr>
          <w:i/>
          <w:iCs/>
        </w:rPr>
        <w:t xml:space="preserve">NEJM</w:t>
      </w:r>
      <w:r>
        <w:t xml:space="preserve"> </w:t>
      </w:r>
      <w:r>
        <w:t xml:space="preserve">2016); PATCH (</w:t>
      </w:r>
      <w:r>
        <w:rPr>
          <w:i/>
          <w:iCs/>
        </w:rPr>
        <w:t xml:space="preserve">Lancet</w:t>
      </w:r>
      <w:r>
        <w:t xml:space="preserve"> </w:t>
      </w:r>
      <w:r>
        <w:t xml:space="preserve">2016); AHA/ACC HIC 2022 (e atualizações); modificação</w:t>
      </w:r>
      <w:r>
        <w:t xml:space="preserve"> </w:t>
      </w:r>
      <w:r>
        <w:t xml:space="preserve">“</w:t>
      </w:r>
      <w:r>
        <w:t xml:space="preserve">ICH Score 2</w:t>
      </w:r>
      <w:r>
        <w:t xml:space="preserve">”</w:t>
      </w:r>
      <w:r>
        <w:t xml:space="preserve"> </w:t>
      </w:r>
      <w:r>
        <w:t xml:space="preserve">proposta recentemente (incluindo localização e etiologia).</w:t>
      </w:r>
    </w:p>
    <w:p>
      <w:r>
        <w:pict>
          <v:rect style="width:0;height:1.5pt" o:hralign="center" o:hrstd="t" o:hr="t"/>
        </w:pict>
      </w:r>
    </w:p>
    <w:bookmarkEnd w:id="23"/>
    <w:bookmarkStart w:id="24" w:name="Xf2f8817e7e7020a942f7addb836ab98dac9372a"/>
    <w:p>
      <w:pPr>
        <w:pStyle w:val="3"/>
      </w:pPr>
      <w:r>
        <w:t xml:space="preserve">4. Escala de Fisher (1980) e Fisher Modificada (Claassen 2001)</w:t>
      </w:r>
    </w:p>
    <w:p>
      <w:pPr>
        <w:pStyle w:val="FirstParagraph"/>
      </w:pPr>
      <w:r>
        <w:rPr>
          <w:b/>
          <w:bCs/>
        </w:rPr>
        <w:t xml:space="preserve">1. Identificação/propósito:</w:t>
      </w:r>
      <w:r>
        <w:t xml:space="preserve"> </w:t>
      </w:r>
      <w:r>
        <w:t xml:space="preserve">Fisher CM et al.,</w:t>
      </w:r>
      <w:r>
        <w:t xml:space="preserve"> </w:t>
      </w:r>
      <w:r>
        <w:rPr>
          <w:i/>
          <w:iCs/>
        </w:rPr>
        <w:t xml:space="preserve">Neurosurgery</w:t>
      </w:r>
      <w:r>
        <w:t xml:space="preserve"> </w:t>
      </w:r>
      <w:r>
        <w:t xml:space="preserve">1980 — quantificar sangue subaracnóideo na TC e prever vasoespasmo. Fisher modificada: Claassen J et al.,</w:t>
      </w:r>
      <w:r>
        <w:t xml:space="preserve"> </w:t>
      </w:r>
      <w:r>
        <w:rPr>
          <w:i/>
          <w:iCs/>
        </w:rPr>
        <w:t xml:space="preserve">Stroke</w:t>
      </w:r>
      <w:r>
        <w:t xml:space="preserve"> </w:t>
      </w:r>
      <w:r>
        <w:t xml:space="preserve">2001 — melhor correlação com vasoespasmo sintomático.</w:t>
      </w:r>
    </w:p>
    <w:p>
      <w:pPr>
        <w:pStyle w:val="a0"/>
      </w:pPr>
      <w:r>
        <w:rPr>
          <w:b/>
          <w:bCs/>
        </w:rPr>
        <w:t xml:space="preserve">2. Parâmetros: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Fisher clássica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Fisher modificada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sangue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HSA nem HEV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Sangramento difuso, depósito fino &lt;1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 fina, sem HEV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Coágulo localizado ou camada vertical ≥1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 fina + HEV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HEV ou extensão intraparenquimatosa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 espessa, sem HEV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HSA espessa + HEV</w:t>
            </w:r>
          </w:p>
        </w:tc>
      </w:tr>
    </w:tbl>
    <w:p>
      <w:pPr>
        <w:pStyle w:val="a0"/>
      </w:pPr>
      <w:r>
        <w:t xml:space="preserve">Fisher clássica: intervalo 1–4. Modificada: 0–4.</w:t>
      </w:r>
    </w:p>
    <w:p>
      <w:pPr>
        <w:pStyle w:val="a0"/>
      </w:pPr>
      <w:r>
        <w:rPr>
          <w:b/>
          <w:bCs/>
        </w:rPr>
        <w:t xml:space="preserve">3. Desfecho (Fisher modificada — risco de vasoespasmo sintomático):</w:t>
      </w:r>
      <w:r>
        <w:t xml:space="preserve"> </w:t>
      </w:r>
      <w:r>
        <w:t xml:space="preserve">0: 0%; 1: 2%; 2: 12%; 3: 13%; 4: 38%. (Fisher clássica: grau 3 historicamente associado ao maior risco.)</w:t>
      </w:r>
    </w:p>
    <w:p>
      <w:pPr>
        <w:pStyle w:val="a0"/>
      </w:pPr>
      <w:r>
        <w:rPr>
          <w:b/>
          <w:bCs/>
        </w:rPr>
        <w:t xml:space="preserve">B. Conduta farmacológica (válida para HSA aneurismática, independente do grau):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Nimodipino 60 mg VO a cada 4 h ×21 dias</w:t>
      </w:r>
      <w:r>
        <w:t xml:space="preserve"> </w:t>
      </w:r>
      <w:r>
        <w:t xml:space="preserve">— obrigatório em TODOS os pacientes com HSA aneurismática (reduz déficit isquêmico e mortalidade); se impossível VO, solução parenteral. Hipotensão: reduzir dose para 30 mg q2h.</w:t>
      </w:r>
      <w:r>
        <w:t xml:space="preserve"> </w:t>
      </w:r>
      <w:r>
        <w:t xml:space="preserve">- Tratamento de vasoespasmo sintomático: elevação volêmica/cuidadosa hemodiluição, vasopressores (noradrenalina) para PAM-alvo; intratecal de nicardipino ou milrinona em centros selecionados; angioplastia com balão/vasodilatadores endovasculares.</w:t>
      </w:r>
      <w:r>
        <w:t xml:space="preserve"> </w:t>
      </w:r>
      <w:r>
        <w:t xml:space="preserve">- Antiepiléptico (levetiracetam ou fentiona) conforme protocolo institucional (evidência de profilaxia controversa; AHA sugere considerar).</w:t>
      </w:r>
      <w:r>
        <w:t xml:space="preserve"> </w:t>
      </w:r>
      <w:r>
        <w:t xml:space="preserve">- Antifibrinolítico (ácido tranexâmico) apenas pontualmente até ocluir o aneurisma em cenário de atraso &gt;48 h, dado risco de isquemia (evidência recente de alta dose ULTRA restrita ao período ultra-precoce — não como rotina).</w:t>
      </w:r>
    </w:p>
    <w:p>
      <w:pPr>
        <w:pStyle w:val="a0"/>
      </w:pPr>
      <w:r>
        <w:rPr>
          <w:b/>
          <w:bCs/>
        </w:rPr>
        <w:t xml:space="preserve">C. Não medicamentosa:</w:t>
      </w:r>
      <w:r>
        <w:t xml:space="preserve"> </w:t>
      </w:r>
      <w:r>
        <w:t xml:space="preserve">TCD transcraniano diário a cada 12–24 h do dia 3 ao 14 (janela clássica de vasoespasmo dia 3–14); TC perfusão seriada se deterioração; controle rigoroso de PA pós-oclusão do aneurisma (PAM &gt;90 mmHg, evitar hipotensão); euvolemia rigorosa (hipovolemia contraindicada); tratamento definitivo do aneurisma:</w:t>
      </w:r>
      <w:r>
        <w:t xml:space="preserve"> </w:t>
      </w:r>
      <w:r>
        <w:rPr>
          <w:b/>
          <w:bCs/>
        </w:rPr>
        <w:t xml:space="preserve">oclusão por clipagem cirúrgica ou embolização com coil ≤72 h</w:t>
      </w:r>
      <w:r>
        <w:t xml:space="preserve"> </w:t>
      </w:r>
      <w:r>
        <w:t xml:space="preserve">(ideal &lt;24–48 h em boas condições; em mau estado clínico, oclusão precoce mesmo assim, via endovascular preferida).</w:t>
      </w:r>
    </w:p>
    <w:p>
      <w:pPr>
        <w:pStyle w:val="a0"/>
      </w:pPr>
      <w:r>
        <w:rPr>
          <w:b/>
          <w:bCs/>
        </w:rPr>
        <w:t xml:space="preserve">4. Nuances:</w:t>
      </w:r>
      <w:r>
        <w:t xml:space="preserve"> </w:t>
      </w:r>
      <w:r>
        <w:t xml:space="preserve">Fisher clássica subestima HEV isolado (grau 4 sem avaliar espessura); a modificada é superior e atualmente preferida;</w:t>
      </w:r>
      <w:r>
        <w:t xml:space="preserve"> </w:t>
      </w:r>
      <w:r>
        <w:t xml:space="preserve">“</w:t>
      </w:r>
      <w:r>
        <w:t xml:space="preserve">sangue fino</w:t>
      </w:r>
      <w:r>
        <w:t xml:space="preserve">”</w:t>
      </w:r>
      <w:r>
        <w:t xml:space="preserve"> </w:t>
      </w:r>
      <w:r>
        <w:t xml:space="preserve">com HEV (modificada 2) tem risco maior que HSA espessa sem HEV (3) — pegadinha clássica de prova. Interobservador moderado na espessura do coágulo.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Fisher</w:t>
      </w:r>
      <w:r>
        <w:t xml:space="preserve"> </w:t>
      </w:r>
      <w:r>
        <w:rPr>
          <w:i/>
          <w:iCs/>
        </w:rPr>
        <w:t xml:space="preserve">Neurosurgery</w:t>
      </w:r>
      <w:r>
        <w:t xml:space="preserve"> </w:t>
      </w:r>
      <w:r>
        <w:t xml:space="preserve">1980; Claassen</w:t>
      </w:r>
      <w:r>
        <w:t xml:space="preserve"> </w:t>
      </w:r>
      <w:r>
        <w:rPr>
          <w:i/>
          <w:iCs/>
        </w:rPr>
        <w:t xml:space="preserve">Stroke</w:t>
      </w:r>
      <w:r>
        <w:t xml:space="preserve"> </w:t>
      </w:r>
      <w:r>
        <w:t xml:space="preserve">2001; diretrizes AHA/ACC HSA 2023 (atualização), Neurocritical Care Society.</w:t>
      </w:r>
    </w:p>
    <w:p>
      <w:r>
        <w:pict>
          <v:rect style="width:0;height:1.5pt" o:hralign="center" o:hrstd="t" o:hr="t"/>
        </w:pict>
      </w:r>
    </w:p>
    <w:bookmarkEnd w:id="24"/>
    <w:bookmarkStart w:id="25" w:name="hunt-hess-1968-e-wfns-1988"/>
    <w:p>
      <w:pPr>
        <w:pStyle w:val="3"/>
      </w:pPr>
      <w:r>
        <w:t xml:space="preserve">5. Hunt-Hess (1968) e WFNS (1988)</w:t>
      </w:r>
    </w:p>
    <w:p>
      <w:pPr>
        <w:pStyle w:val="FirstParagraph"/>
      </w:pPr>
      <w:r>
        <w:rPr>
          <w:b/>
          <w:bCs/>
        </w:rPr>
        <w:t xml:space="preserve">1. Identificação:</w:t>
      </w:r>
      <w:r>
        <w:t xml:space="preserve"> </w:t>
      </w:r>
      <w:r>
        <w:t xml:space="preserve">Hunt WE &amp; Hess RM,</w:t>
      </w:r>
      <w:r>
        <w:t xml:space="preserve"> </w:t>
      </w:r>
      <w:r>
        <w:rPr>
          <w:i/>
          <w:iCs/>
        </w:rPr>
        <w:t xml:space="preserve">J Neurosurg</w:t>
      </w:r>
      <w:r>
        <w:t xml:space="preserve"> </w:t>
      </w:r>
      <w:r>
        <w:t xml:space="preserve">1968. WFNS: Report of World Federation of Neurosurgical Societies,</w:t>
      </w:r>
      <w:r>
        <w:t xml:space="preserve"> </w:t>
      </w:r>
      <w:r>
        <w:rPr>
          <w:i/>
          <w:iCs/>
        </w:rPr>
        <w:t xml:space="preserve">J Neurosurg</w:t>
      </w:r>
      <w:r>
        <w:t xml:space="preserve"> </w:t>
      </w:r>
      <w:r>
        <w:t xml:space="preserve">1988. Propósito: estratificação clínica da gravidade da HSA aneurismática, guiando timing/estratégia de oclusão e prognóstico.</w:t>
      </w:r>
    </w:p>
    <w:p>
      <w:pPr>
        <w:pStyle w:val="a0"/>
      </w:pPr>
      <w:r>
        <w:rPr>
          <w:b/>
          <w:bCs/>
        </w:rPr>
        <w:t xml:space="preserve">2. Parâmetros — Hunt-Hess: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Assintomático ou cefaleia leve e discreta rigidez de nuca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Cefaleia moderada-grave, rigidez de nuca, sem déficit além de paralisia de nervo craniano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Sonolência, confusão ou déficit focal leve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Estupor, hemiparesia moderada-grave, rigidez descerebrada precoce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 profundo, rigidez descerebrada, aparência moribunda</w:t>
            </w:r>
          </w:p>
        </w:tc>
      </w:tr>
    </w:tbl>
    <w:p>
      <w:pPr>
        <w:pStyle w:val="a0"/>
      </w:pPr>
      <w:r>
        <w:rPr>
          <w:b/>
          <w:bCs/>
        </w:rPr>
        <w:t xml:space="preserve">WFNS</w:t>
      </w:r>
      <w:r>
        <w:t xml:space="preserve"> </w:t>
      </w:r>
      <w:r>
        <w:t xml:space="preserve">(combina GCS + déficit motor): Grau 1 = GCS 15 sem déficit; 2 = GCS 13–14 sem déficit; 3 = GCS 13–14 com déficit; 4 = GCS 7–12 ± déficit; 5 = GCS 3–6 ± déficit.</w:t>
      </w:r>
    </w:p>
    <w:p>
      <w:pPr>
        <w:pStyle w:val="a0"/>
      </w:pPr>
      <w:r>
        <w:rPr>
          <w:b/>
          <w:bCs/>
        </w:rPr>
        <w:t xml:space="preserve">3. Desfecho:</w:t>
      </w:r>
      <w:r>
        <w:t xml:space="preserve"> </w:t>
      </w:r>
      <w:r>
        <w:t xml:space="preserve">mortalidade aproximada por Hunt-Hess (clássica, literatura antiga): grau 1 ≈10%, 2 ≈20%, 3 ≈40%, 4 ≈80%, 5 ≈90–100%. WFNS 4–5 = prognóstico reservado (mortalidade 60–80% na maioria das séries).</w:t>
      </w:r>
    </w:p>
    <w:p>
      <w:pPr>
        <w:pStyle w:val="a0"/>
      </w:pPr>
      <w:r>
        <w:rPr>
          <w:b/>
          <w:bCs/>
        </w:rPr>
        <w:t xml:space="preserve">B. Conduta farmacológica:</w:t>
      </w:r>
      <w:r>
        <w:t xml:space="preserve"> </w:t>
      </w:r>
      <w:r>
        <w:rPr>
          <w:b/>
          <w:bCs/>
        </w:rPr>
        <w:t xml:space="preserve">idêntica em todas as faixas</w:t>
      </w:r>
      <w:r>
        <w:t xml:space="preserve">: nimodipino 60 mg VO q4h ×21 dias; analgesia (não opioide em excesso que mascare GCS); antieméticos; tratamento da HIC se presente (manitol/hipertono); euvolemia.</w:t>
      </w:r>
    </w:p>
    <w:p>
      <w:pPr>
        <w:pStyle w:val="a0"/>
      </w:pPr>
      <w:r>
        <w:rPr>
          <w:b/>
          <w:bCs/>
        </w:rPr>
        <w:t xml:space="preserve">C. Não medicamentosa — estratificada por gravidade: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Hunt-Hess 1–2 / WFNS 1–2:</w:t>
      </w:r>
      <w:r>
        <w:t xml:space="preserve"> </w:t>
      </w:r>
      <w:r>
        <w:t xml:space="preserve">oclusão do aneurisma precoce (≤72 h, ideal ≤24 h); clipagem ou coil conforme morfologia.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Hunt-Hess 3 / WFNS 3:</w:t>
      </w:r>
      <w:r>
        <w:t xml:space="preserve"> </w:t>
      </w:r>
      <w:r>
        <w:t xml:space="preserve">UTI, oclusão precoce (endovascular preferida se instabilidade), EVD se hidrocefalia.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Hunt-Hess 4–5 / WFNS 4–5:</w:t>
      </w:r>
      <w:r>
        <w:t xml:space="preserve"> </w:t>
      </w:r>
      <w:r>
        <w:t xml:space="preserve">UTI, intubação se GCS ≤8, EVD para HIC/hidrocefalia, oclusura endovascular precoce, controle multimodal de PIC; consideração de tratamento agressivo vs. conforto conforme comorbidades e vontade — WFNS 5 com aneurismas em tronco/régiao posterior tem prognóstico sombrio.</w:t>
      </w:r>
    </w:p>
    <w:p>
      <w:pPr>
        <w:pStyle w:val="a0"/>
      </w:pPr>
      <w:r>
        <w:rPr>
          <w:b/>
          <w:bCs/>
        </w:rPr>
        <w:t xml:space="preserve">4. Nuances:</w:t>
      </w:r>
      <w:r>
        <w:t xml:space="preserve"> </w:t>
      </w:r>
      <w:r>
        <w:t xml:space="preserve">Hunt-Hess sofre viés interobservador importante (</w:t>
      </w:r>
      <w:r>
        <w:t xml:space="preserve">“</w:t>
      </w:r>
      <w:r>
        <w:t xml:space="preserve">sonolência leve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confusão</w:t>
      </w:r>
      <w:r>
        <w:t xml:space="preserve">”</w:t>
      </w:r>
      <w:r>
        <w:t xml:space="preserve">); WFNS mais reproduzível por ancorar no GCS; ambas medem condição no momento — estado clínico evolui (reavaliação seriada obrigatória); WFNS 5 que melhora após EVD pode reclassificar-se.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Hunt &amp; Hess 1968; WFNS Comittee 1988; ISAT (</w:t>
      </w:r>
      <w:r>
        <w:rPr>
          <w:i/>
          <w:iCs/>
        </w:rPr>
        <w:t xml:space="preserve">Lancet</w:t>
      </w:r>
      <w:r>
        <w:t xml:space="preserve"> </w:t>
      </w:r>
      <w:r>
        <w:t xml:space="preserve">2002, 2005); diretrizes AHA/ACC HSA 2023.</w:t>
      </w:r>
    </w:p>
    <w:p>
      <w:r>
        <w:pict>
          <v:rect style="width:0;height:1.5pt" o:hralign="center" o:hrstd="t" o:hr="t"/>
        </w:pict>
      </w:r>
    </w:p>
    <w:bookmarkEnd w:id="25"/>
    <w:bookmarkStart w:id="26" w:name="spetzler-martin-1986"/>
    <w:p>
      <w:pPr>
        <w:pStyle w:val="3"/>
      </w:pPr>
      <w:r>
        <w:t xml:space="preserve">6. Spetzler-Martin (1986)</w:t>
      </w:r>
    </w:p>
    <w:p>
      <w:pPr>
        <w:pStyle w:val="FirstParagraph"/>
      </w:pPr>
      <w:r>
        <w:rPr>
          <w:b/>
          <w:bCs/>
        </w:rPr>
        <w:t xml:space="preserve">1. Identificação:</w:t>
      </w:r>
      <w:r>
        <w:t xml:space="preserve"> </w:t>
      </w:r>
      <w:r>
        <w:t xml:space="preserve">Spetzler RF &amp; Martin NA,</w:t>
      </w:r>
      <w:r>
        <w:t xml:space="preserve"> </w:t>
      </w:r>
      <w:r>
        <w:rPr>
          <w:i/>
          <w:iCs/>
        </w:rPr>
        <w:t xml:space="preserve">J Neurosurg</w:t>
      </w:r>
      <w:r>
        <w:t xml:space="preserve"> </w:t>
      </w:r>
      <w:r>
        <w:t xml:space="preserve">1986. Propósito: predizer risco cirúrgico (morbidade permanente) na ressecção de MAV cerebral.</w:t>
      </w:r>
    </w:p>
    <w:p>
      <w:pPr>
        <w:pStyle w:val="a0"/>
      </w:pPr>
      <w:r>
        <w:rPr>
          <w:b/>
          <w:bCs/>
        </w:rPr>
        <w:t xml:space="preserve">2. Parâmetros: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 cm / 3–6 cm / &gt;6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2 /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Eloquência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não eloquente / eloquente (córtex sensoriomotor, área de Broca/Wernicke, tálamo, hipotálamo, mesencéfalo, cerebelo profundo, regiões visuais)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Drenagem venosa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Superficial apenas / componente profunda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</w:tr>
    </w:tbl>
    <w:p>
      <w:pPr>
        <w:pStyle w:val="a0"/>
      </w:pPr>
      <w:r>
        <w:rPr>
          <w:b/>
          <w:bCs/>
        </w:rPr>
        <w:t xml:space="preserve">Grau total: 1–5.</w:t>
      </w:r>
    </w:p>
    <w:p>
      <w:pPr>
        <w:pStyle w:val="a0"/>
      </w:pPr>
      <w:r>
        <w:rPr>
          <w:b/>
          <w:bCs/>
        </w:rPr>
        <w:t xml:space="preserve">3. Estratificação e condutas: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cirúrgico (morbidade permanente, dados clássicos)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Ressecção cirúrgica segura — tratamento de escolha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Ressecção cirúrgica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Individualização (cirurgia, embolização combinada, radiocirurgia)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conservador/estereotaxia em geral; cirurgia excepcional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operar (risco excede benefício na maioria)</w:t>
            </w:r>
          </w:p>
        </w:tc>
      </w:tr>
    </w:tbl>
    <w:p>
      <w:pPr>
        <w:pStyle w:val="a0"/>
      </w:pPr>
      <w:r>
        <w:rPr>
          <w:b/>
          <w:bCs/>
        </w:rPr>
        <w:t xml:space="preserve">B. Conduta farmacológica:</w:t>
      </w:r>
      <w:r>
        <w:t xml:space="preserve"> </w:t>
      </w:r>
      <w:r>
        <w:t xml:space="preserve">nenhuma terapia medicamentosa modificadora de prognostico da MAV em si.</w:t>
      </w:r>
      <w:r>
        <w:t xml:space="preserve"> </w:t>
      </w:r>
      <w:r>
        <w:rPr>
          <w:b/>
          <w:bCs/>
        </w:rPr>
        <w:t xml:space="preserve">Conduta Farmacológica: Nenhuma intervenção medicamentosa indicada por esta escala.</w:t>
      </w:r>
      <w:r>
        <w:t xml:space="preserve"> </w:t>
      </w:r>
      <w:r>
        <w:t xml:space="preserve">Anticonvulsivante apenas se crises (evidência de profilaxia se déficit focal é controversa; alguns usam perioperatório).</w:t>
      </w:r>
    </w:p>
    <w:p>
      <w:pPr>
        <w:pStyle w:val="a0"/>
      </w:pPr>
      <w:r>
        <w:rPr>
          <w:b/>
          <w:bCs/>
        </w:rPr>
        <w:t xml:space="preserve">C. Não medicamentosa:</w:t>
      </w:r>
      <w:r>
        <w:t xml:space="preserve"> </w:t>
      </w:r>
      <w:r>
        <w:t xml:space="preserve">angiografia digital completa (3 fases, 6 vasos) obrigatória; embolização pré-operatória em MAVs selecionadas (reduz shunt); radiocirurgia estereotáxica para MAVs pequenos em áreas eloquentes (obliteração em 2–3 anos); tratamento de drenagem venosa depressurizada; embolização paliativa para sintomas de</w:t>
      </w:r>
      <w:r>
        <w:t xml:space="preserve"> </w:t>
      </w:r>
      <w:r>
        <w:t xml:space="preserve">“</w:t>
      </w:r>
      <w:r>
        <w:t xml:space="preserve">steal</w:t>
      </w:r>
      <w:r>
        <w:t xml:space="preserve">”</w:t>
      </w:r>
      <w:r>
        <w:t xml:space="preserve"> </w:t>
      </w:r>
      <w:r>
        <w:t xml:space="preserve">em MAVs não tratáveis; ruptura de MAV: tratamento da lesão e do hematoma conforme localização.</w:t>
      </w:r>
    </w:p>
    <w:p>
      <w:pPr>
        <w:pStyle w:val="a0"/>
      </w:pPr>
      <w:r>
        <w:rPr>
          <w:b/>
          <w:bCs/>
        </w:rPr>
        <w:t xml:space="preserve">4. Nuances:</w:t>
      </w:r>
      <w:r>
        <w:t xml:space="preserve"> </w:t>
      </w:r>
      <w:r>
        <w:t xml:space="preserve">tamanho medido na maior dimensão angiográfica; eloquência definida anatomicamente estaticamente (fMRI pré-operatório melhora definição); grau 3 é heterogêneo (ex.: 1+1+1 vs 3+0+0 têm riscos diferentes — existem propostas de complemento como a</w:t>
      </w:r>
      <w:r>
        <w:t xml:space="preserve"> </w:t>
      </w:r>
      <w:r>
        <w:t xml:space="preserve">“</w:t>
      </w:r>
      <w:r>
        <w:t xml:space="preserve">lei dos 3</w:t>
      </w:r>
      <w:r>
        <w:t xml:space="preserve">”</w:t>
      </w:r>
      <w:r>
        <w:t xml:space="preserve">: elementos repetidos elevam risco); a escala previu risco da era pré-amplificação moderna (contemporaneamente, a morbidade real dos graus baixos é menor em centros de referência).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Spetzler &amp; Martin 1986; ARUBA (</w:t>
      </w:r>
      <w:r>
        <w:rPr>
          <w:i/>
          <w:iCs/>
        </w:rPr>
        <w:t xml:space="preserve">Lancet</w:t>
      </w:r>
      <w:r>
        <w:t xml:space="preserve"> </w:t>
      </w:r>
      <w:r>
        <w:t xml:space="preserve">2013 — tratamento de MAVs não roturas não superiores à conduta conservadora, embora criticado); diretrizes AHA/ACC MAV 2017.</w:t>
      </w:r>
    </w:p>
    <w:p>
      <w:r>
        <w:pict>
          <v:rect style="width:0;height:1.5pt" o:hralign="center" o:hrstd="t" o:hr="t"/>
        </w:pict>
      </w:r>
    </w:p>
    <w:bookmarkEnd w:id="26"/>
    <w:bookmarkStart w:id="27" w:name="marshall-1991-e-rotterdam-2005-tce"/>
    <w:p>
      <w:pPr>
        <w:pStyle w:val="3"/>
      </w:pPr>
      <w:r>
        <w:t xml:space="preserve">7. Marshall (1991) e Rotterdam (2005) — TCE</w:t>
      </w:r>
    </w:p>
    <w:p>
      <w:pPr>
        <w:pStyle w:val="FirstParagraph"/>
      </w:pPr>
      <w:r>
        <w:rPr>
          <w:b/>
          <w:bCs/>
        </w:rPr>
        <w:t xml:space="preserve">Marshall:</w:t>
      </w:r>
      <w:r>
        <w:t xml:space="preserve"> </w:t>
      </w:r>
      <w:r>
        <w:t xml:space="preserve">Marshall LF et al.,</w:t>
      </w:r>
      <w:r>
        <w:t xml:space="preserve"> </w:t>
      </w:r>
      <w:r>
        <w:rPr>
          <w:i/>
          <w:iCs/>
        </w:rPr>
        <w:t xml:space="preserve">Neurosurgery</w:t>
      </w:r>
      <w:r>
        <w:t xml:space="preserve"> </w:t>
      </w:r>
      <w:r>
        <w:t xml:space="preserve">1991 (parte do TCDB — Traumatic Coma Data Bank). Classificação tomográfica: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Difusa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patologia visível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Difusa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Cisternas presentes, desvio de linha média 0–5 mm, sem lesão densa/mista &gt;25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Difusa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Cisternas comprimidas/ausentes, desvio 0–5 mm, sem lesão &gt;25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Difusa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Desvio de linha média &gt;5 mm, sem lesão &gt;25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Lesão evacuada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lesão evacuada cirurgicamente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Lesão não evacuada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Lesão densa/mista &gt;25 mL, não evacuada</w:t>
            </w:r>
          </w:p>
        </w:tc>
      </w:tr>
    </w:tbl>
    <w:p>
      <w:pPr>
        <w:pStyle w:val="a0"/>
      </w:pPr>
      <w:r>
        <w:t xml:space="preserve">Desfecho: categorias III–VI associadas a maior mortalidade e HIC.</w:t>
      </w:r>
    </w:p>
    <w:p>
      <w:pPr>
        <w:pStyle w:val="a0"/>
      </w:pPr>
      <w:r>
        <w:rPr>
          <w:b/>
          <w:bCs/>
        </w:rPr>
        <w:t xml:space="preserve">Rotterdam:</w:t>
      </w:r>
      <w:r>
        <w:t xml:space="preserve"> </w:t>
      </w:r>
      <w:r>
        <w:t xml:space="preserve">Maas AIR et al.,</w:t>
      </w:r>
      <w:r>
        <w:t xml:space="preserve"> </w:t>
      </w:r>
      <w:r>
        <w:rPr>
          <w:i/>
          <w:iCs/>
        </w:rPr>
        <w:t xml:space="preserve">J Neurosurg</w:t>
      </w:r>
      <w:r>
        <w:t xml:space="preserve"> </w:t>
      </w:r>
      <w:r>
        <w:t xml:space="preserve">2005.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Cisternas basais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Normais 0 / comprimidas 1 / ausentes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Desvio de linha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 mm 0 / &gt;5 mm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Hematoma epidural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 −1 (melhor prognóstico)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HEV ou HSA traumática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 1</w:t>
            </w:r>
          </w:p>
        </w:tc>
      </w:tr>
    </w:tbl>
    <w:p>
      <w:pPr>
        <w:pStyle w:val="a0"/>
      </w:pPr>
      <w:r>
        <w:t xml:space="preserve">Intervalo típico 1–6. Mortalidade a 6 meses: 1 → 0%; 2 → 7%; 3 → 16%; 4 → 26%; 5 → 53%; 6 → 61%.</w:t>
      </w:r>
    </w:p>
    <w:p>
      <w:pPr>
        <w:pStyle w:val="a0"/>
      </w:pPr>
      <w:r>
        <w:rPr>
          <w:b/>
          <w:bCs/>
        </w:rPr>
        <w:t xml:space="preserve">3. Condutas (ambas as escalas são prognósticas; conduta não vinculada à pontuação, mas orientada pela fisiopatologia):</w:t>
      </w:r>
    </w:p>
    <w:p>
      <w:pPr>
        <w:pStyle w:val="a0"/>
      </w:pPr>
      <w:r>
        <w:rPr>
          <w:b/>
          <w:bCs/>
        </w:rPr>
        <w:t xml:space="preserve">B. Farmacológica:</w:t>
      </w:r>
      <w:r>
        <w:t xml:space="preserve"> </w:t>
      </w:r>
      <w:r>
        <w:t xml:space="preserve">se HIC documentada: manitol 0,25–1 g/kg EV bolus ou NaCl 3% 250 mL EV; sedação/analgésia titulada (propofol, fentanil); se disautonomia/febre: controle;</w:t>
      </w:r>
      <w:r>
        <w:t xml:space="preserve"> </w:t>
      </w:r>
      <w:r>
        <w:rPr>
          <w:b/>
          <w:bCs/>
        </w:rPr>
        <w:t xml:space="preserve">corticoides NÃO indicados no TCE</w:t>
      </w:r>
      <w:r>
        <w:t xml:space="preserve"> </w:t>
      </w:r>
      <w:r>
        <w:t xml:space="preserve">(CRASH); profilaxia de convulsão precoce (7 dias) com levetiracetam 1000 mg q12h em lesão contusa significativa; tromboprofilaxia farmacológica (enoxaparina 40 mg SC/dia) iniciada após 24–48 h com TC de controle estável.</w:t>
      </w:r>
    </w:p>
    <w:p>
      <w:pPr>
        <w:pStyle w:val="a0"/>
      </w:pPr>
      <w:r>
        <w:rPr>
          <w:b/>
          <w:bCs/>
        </w:rPr>
        <w:t xml:space="preserve">C. Não medicamentosa:</w:t>
      </w:r>
      <w:r>
        <w:t xml:space="preserve"> </w:t>
      </w:r>
      <w:r>
        <w:t xml:space="preserve">pontuações altas (Marshall IV–VI / Rotterdam ≥4) → monitorização invasiva de PIC (alvo &lt;22 mmHg, PPi &gt;60 mmHg), CPP alvo 60–70 mmHg, UTI, neurocirurgia para lesões &gt;25 mL com efeito de massa ou descompressão craniectomia difusa em HIC refratária (RESCUEicp); elevação da cabeceira 30°, normocapnia (evitar hipocapnia prolongada), normotermia, normoglicemia.</w:t>
      </w:r>
    </w:p>
    <w:p>
      <w:pPr>
        <w:pStyle w:val="a0"/>
      </w:pPr>
      <w:r>
        <w:rPr>
          <w:b/>
          <w:bCs/>
        </w:rPr>
        <w:t xml:space="preserve">4. Nuances:</w:t>
      </w:r>
      <w:r>
        <w:t xml:space="preserve"> </w:t>
      </w:r>
      <w:r>
        <w:t xml:space="preserve">Marshall não incorpora idade; Rotterdam adiciona idade como preditor separado (não faz parte do escore tomográfico, mas do modelo de predição combinado); HED subtrai ponto (lesão benigna relativamente) — pegadinha de prova; ambas dependem de TC de boa qualidade precoce; predição fisiológica pós-parada/lesão bilateral é limitada.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Marshall</w:t>
      </w:r>
      <w:r>
        <w:t xml:space="preserve"> </w:t>
      </w:r>
      <w:r>
        <w:rPr>
          <w:i/>
          <w:iCs/>
        </w:rPr>
        <w:t xml:space="preserve">Neurosurgery</w:t>
      </w:r>
      <w:r>
        <w:t xml:space="preserve"> </w:t>
      </w:r>
      <w:r>
        <w:t xml:space="preserve">1991 (TCDB); Maas</w:t>
      </w:r>
      <w:r>
        <w:t xml:space="preserve"> </w:t>
      </w:r>
      <w:r>
        <w:rPr>
          <w:i/>
          <w:iCs/>
        </w:rPr>
        <w:t xml:space="preserve">J Neurosurg</w:t>
      </w:r>
      <w:r>
        <w:t xml:space="preserve"> </w:t>
      </w:r>
      <w:r>
        <w:t xml:space="preserve">2005; CRASH (</w:t>
      </w:r>
      <w:r>
        <w:rPr>
          <w:i/>
          <w:iCs/>
        </w:rPr>
        <w:t xml:space="preserve">Lancet</w:t>
      </w:r>
      <w:r>
        <w:t xml:space="preserve"> </w:t>
      </w:r>
      <w:r>
        <w:t xml:space="preserve">2004–2005); RESCUEicp (</w:t>
      </w:r>
      <w:r>
        <w:rPr>
          <w:i/>
          <w:iCs/>
        </w:rPr>
        <w:t xml:space="preserve">NEJM</w:t>
      </w:r>
      <w:r>
        <w:t xml:space="preserve"> </w:t>
      </w:r>
      <w:r>
        <w:t xml:space="preserve">2016); BTF Guidelines 4ª ed. 2016; Brain Trauma Foundation 2025 updates.</w:t>
      </w:r>
    </w:p>
    <w:p>
      <w:r>
        <w:pict>
          <v:rect style="width:0;height:1.5pt" o:hralign="center" o:hrstd="t" o:hr="t"/>
        </w:pict>
      </w:r>
    </w:p>
    <w:bookmarkEnd w:id="27"/>
    <w:bookmarkStart w:id="28" w:name="escala-asia-ais-isncsci"/>
    <w:p>
      <w:pPr>
        <w:pStyle w:val="3"/>
      </w:pPr>
      <w:r>
        <w:t xml:space="preserve">8. Escala ASIA (AIS / ISNCSCI)</w:t>
      </w:r>
    </w:p>
    <w:p>
      <w:pPr>
        <w:pStyle w:val="FirstParagraph"/>
      </w:pPr>
      <w:r>
        <w:rPr>
          <w:b/>
          <w:bCs/>
        </w:rPr>
        <w:t xml:space="preserve">1. Identificação:</w:t>
      </w:r>
      <w:r>
        <w:t xml:space="preserve"> </w:t>
      </w:r>
      <w:r>
        <w:t xml:space="preserve">American Spinal Injury Association — padronizada desde 1982, atualizações periódicas (ISNCSCI rev. 2019/2021). Propósito: classificação padronizada do déficit neurológico (motor e sensitivo) pós-lesão medular, definindo nível de lesão, zona de preservação parcial (ZPP) e categoria de comprometimento.</w:t>
      </w:r>
    </w:p>
    <w:p>
      <w:pPr>
        <w:pStyle w:val="a0"/>
      </w:pPr>
      <w:r>
        <w:rPr>
          <w:b/>
          <w:bCs/>
        </w:rPr>
        <w:t xml:space="preserve">2. Parâmetros:</w:t>
      </w:r>
      <w:r>
        <w:t xml:space="preserve"> </w:t>
      </w:r>
      <w:r>
        <w:t xml:space="preserve">avaliação de 10 pares miotomas (força 0–5) e 28 dermátomos (sensibilidade 0 = ausente; 1 = prejudicada; 2 = normal), incluindo obrigatoriamente a</w:t>
      </w:r>
      <w:r>
        <w:t xml:space="preserve"> </w:t>
      </w:r>
      <w:r>
        <w:rPr>
          <w:b/>
          <w:bCs/>
        </w:rPr>
        <w:t xml:space="preserve">chave sacral</w:t>
      </w:r>
      <w:r>
        <w:t xml:space="preserve">: sensibilidade perianal (S4–S5) e contração voluntária do esfíncter anal (motor sacral).</w:t>
      </w:r>
      <w:r>
        <w:t xml:space="preserve"> </w:t>
      </w:r>
      <w:r>
        <w:rPr>
          <w:b/>
          <w:bCs/>
        </w:rPr>
        <w:t xml:space="preserve">Categorias AIS: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— Completa:</w:t>
      </w:r>
      <w:r>
        <w:t xml:space="preserve"> </w:t>
      </w:r>
      <w:r>
        <w:t xml:space="preserve">sem função sacral (S4–S5) preservada.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 — Incompleta sensitiva:</w:t>
      </w:r>
      <w:r>
        <w:t xml:space="preserve"> </w:t>
      </w:r>
      <w:r>
        <w:t xml:space="preserve">sensibilidade sacral preservada, sem função motora abaixo do nível (incl. sacral).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 — Incompleta motora:</w:t>
      </w:r>
      <w:r>
        <w:t xml:space="preserve"> </w:t>
      </w:r>
      <w:r>
        <w:t xml:space="preserve">função motora preservada abaixo do nível, mas mais da metade dos músculos-chave com força &lt;3.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 — Incompleta motora:</w:t>
      </w:r>
      <w:r>
        <w:t xml:space="preserve"> </w:t>
      </w:r>
      <w:r>
        <w:t xml:space="preserve">pelo menos metade dos músculos-chave abaixo do nível com força ≥3.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 — Normal:</w:t>
      </w:r>
      <w:r>
        <w:t xml:space="preserve"> </w:t>
      </w:r>
      <w:r>
        <w:t xml:space="preserve">função sensoriomotora normal em segmentos previamente comprometidos.</w:t>
      </w:r>
    </w:p>
    <w:p>
      <w:pPr>
        <w:pStyle w:val="a0"/>
      </w:pPr>
      <w:r>
        <w:rPr>
          <w:b/>
          <w:bCs/>
        </w:rPr>
        <w:t xml:space="preserve">3. Desfecho e condutas:</w:t>
      </w:r>
      <w:r>
        <w:t xml:space="preserve"> </w:t>
      </w:r>
      <w:r>
        <w:t xml:space="preserve">AIS A nas primeiras 72 h → menor probabilidade de marcha funcional; AIS D → alta probabilidade de marcha. Não há fármaco vinculado à classificação.</w:t>
      </w:r>
      <w:r>
        <w:t xml:space="preserve"> </w:t>
      </w:r>
      <w:r>
        <w:rPr>
          <w:b/>
          <w:bCs/>
        </w:rPr>
        <w:t xml:space="preserve">Conduta farmacológica: nenhuma intervenção medicamentosa indicada por esta escala</w:t>
      </w:r>
      <w:r>
        <w:t xml:space="preserve"> </w:t>
      </w:r>
      <w:r>
        <w:t xml:space="preserve">(a metilprednisolona em altas doses para LRM teve uso histórico — NASCIS II/III — mas atualmente</w:t>
      </w:r>
      <w:r>
        <w:t xml:space="preserve"> </w:t>
      </w:r>
      <w:r>
        <w:rPr>
          <w:b/>
          <w:bCs/>
        </w:rPr>
        <w:t xml:space="preserve">não recomendada</w:t>
      </w:r>
      <w:r>
        <w:t xml:space="preserve"> </w:t>
      </w:r>
      <w:r>
        <w:t xml:space="preserve">de rotina pelas diretrizes, dado risco de infecção e sem benefício funcional consistente).</w:t>
      </w:r>
    </w:p>
    <w:p>
      <w:pPr>
        <w:pStyle w:val="a0"/>
      </w:pPr>
      <w:r>
        <w:rPr>
          <w:b/>
          <w:bCs/>
        </w:rPr>
        <w:t xml:space="preserve">C. Não medicamentosa:</w:t>
      </w:r>
      <w:r>
        <w:t xml:space="preserve"> </w:t>
      </w:r>
      <w:r>
        <w:t xml:space="preserve">estabilização cirúrgica da coluna (descompressão + artrodese) idealmente ≤24 h em LRM traumática (STASCIS); prevenção de complicações (TVP — profilaxia mecânica + farmacológica quando segura; úlceras por pressão — troca de decúbito 2/2h; infecção urinária — cateterismo intermitente limpo; impactação intestinal — protocolo de intestino neurogênico); reabilitação precoce intensiva; neuroplasticidade (atividades-funcionais intensivas); avaliação de neurostimulação em estágios crônicos selecionados.</w:t>
      </w:r>
    </w:p>
    <w:p>
      <w:pPr>
        <w:pStyle w:val="a0"/>
      </w:pPr>
      <w:r>
        <w:rPr>
          <w:b/>
          <w:bCs/>
        </w:rPr>
        <w:t xml:space="preserve">4. Nuances:</w:t>
      </w:r>
      <w:r>
        <w:t xml:space="preserve"> </w:t>
      </w:r>
      <w:r>
        <w:t xml:space="preserve">exame deve ser feito entre 48–72 h após a lesão para estabilidade; a chave sacral é o ponto mais negligenciado — sem ela não se diferencia AIS A de B; lesões concomitantes (TCE, intoxicação) limitam exame; conversão AIS A→B/C nos primeiros dias altera prognóstico favoravelmente; ZPP documentada separadamente.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ASIA Standards 1982–2021; STASCIS (</w:t>
      </w:r>
      <w:r>
        <w:rPr>
          <w:i/>
          <w:iCs/>
        </w:rPr>
        <w:t xml:space="preserve">PLoS One</w:t>
      </w:r>
      <w:r>
        <w:t xml:space="preserve"> </w:t>
      </w:r>
      <w:r>
        <w:t xml:space="preserve">2012); diretrizes AANS/CNS lesão medular aguda 2013 (revisões posteriores).</w:t>
      </w:r>
    </w:p>
    <w:p>
      <w:r>
        <w:pict>
          <v:rect style="width:0;height:1.5pt" o:hralign="center" o:hrstd="t" o:hr="t"/>
        </w:pict>
      </w:r>
    </w:p>
    <w:bookmarkEnd w:id="28"/>
    <w:bookmarkStart w:id="29" w:name="karnofsky-performance-status-kps"/>
    <w:p>
      <w:pPr>
        <w:pStyle w:val="3"/>
      </w:pPr>
      <w:r>
        <w:t xml:space="preserve">9. Karnofsky Performance Status (KPS)</w:t>
      </w:r>
    </w:p>
    <w:p>
      <w:pPr>
        <w:pStyle w:val="FirstParagraph"/>
      </w:pPr>
      <w:r>
        <w:rPr>
          <w:b/>
          <w:bCs/>
        </w:rPr>
        <w:t xml:space="preserve">1. Identificação:</w:t>
      </w:r>
      <w:r>
        <w:t xml:space="preserve"> </w:t>
      </w:r>
      <w:r>
        <w:t xml:space="preserve">Karnofsky DA &amp; Burchenal JH, 1948. Propósito: medida de performance funcional e sobrevida em oncologia/neuro-oncologia, guiando elegibilidade terapêutica.</w:t>
      </w:r>
    </w:p>
    <w:p>
      <w:pPr>
        <w:pStyle w:val="a0"/>
      </w:pPr>
      <w:r>
        <w:rPr>
          <w:b/>
          <w:bCs/>
        </w:rPr>
        <w:t xml:space="preserve">2. Parâmetros:</w:t>
      </w:r>
      <w:r>
        <w:t xml:space="preserve"> </w:t>
      </w:r>
      <w:r>
        <w:t xml:space="preserve">escala 0–100: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Normal, sem queixas, sem evidência de doença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Capaz de atividade normal; sintomas mínimos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 normal com esforço; alguns sintomas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Cuida de si; incapaz de atividade normal ou trabalho 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 assistência ocasional; cuida da maioria das necessidades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 considerável assistência e cuidados médicos frequentes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Incapaz; requer cuidados especiais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Gravemente incapaz; hospitalização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doente; hospitalização necessária; suporte ativo necessário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Moribundo; processo fatal progride rapidamente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Morto</w:t>
            </w:r>
          </w:p>
        </w:tc>
      </w:tr>
    </w:tbl>
    <w:p>
      <w:pPr>
        <w:pStyle w:val="a0"/>
      </w:pPr>
      <w:r>
        <w:rPr>
          <w:b/>
          <w:bCs/>
        </w:rPr>
        <w:t xml:space="preserve">3. Desfecho/condutas:</w:t>
      </w:r>
      <w:r>
        <w:t xml:space="preserve"> </w:t>
      </w:r>
      <w:r>
        <w:t xml:space="preserve">KPS ≥70 geralmente associado a melhor sobrevida e tolerância a quimio/radioterapia em neuro-oncologia (e.g., glioblastoma: KPS ≥70 e idade &lt;70 são pilares do tratamento padrão com radioquimioterapia Stupp); KPS &lt;60 → cuidados paliativos/oncológicos sistêmicos suaves; em cirurgia de gliomas de áreas eloquentes, KPS pré-operatório é determinante.</w:t>
      </w:r>
      <w:r>
        <w:t xml:space="preserve"> </w:t>
      </w:r>
      <w:r>
        <w:rPr>
          <w:b/>
          <w:bCs/>
        </w:rPr>
        <w:t xml:space="preserve">Conduta farmacológica: nenhuma vinculada à pontuação</w:t>
      </w:r>
      <w:r>
        <w:t xml:space="preserve"> </w:t>
      </w:r>
      <w:r>
        <w:t xml:space="preserve">— quimioterapia e corticoides (dexametasona 10–16 mg/dia para edema peritumoral sintomático) seguem a doença, não o KPS.</w:t>
      </w:r>
    </w:p>
    <w:p>
      <w:pPr>
        <w:pStyle w:val="a0"/>
      </w:pPr>
      <w:r>
        <w:rPr>
          <w:b/>
          <w:bCs/>
        </w:rPr>
        <w:t xml:space="preserve">4. Nuances:</w:t>
      </w:r>
      <w:r>
        <w:t xml:space="preserve"> </w:t>
      </w:r>
      <w:r>
        <w:t xml:space="preserve">viés interobservador; correlaciona com ECOG (KPS 100–90 ≈ ECOG 0; 80–70 ≈ 1; 60–50 ≈ 2; 40–30 ≈ 3; 20–10 ≈ 4); não captura déficits focais específicos; importante em prognóstico de metástases cerebrais (escores combinados como GPA/DS-GPA incluem KPS).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Karnofsky &amp; Burchenal 1948; Stupp</w:t>
      </w:r>
      <w:r>
        <w:t xml:space="preserve"> </w:t>
      </w:r>
      <w:r>
        <w:rPr>
          <w:i/>
          <w:iCs/>
        </w:rPr>
        <w:t xml:space="preserve">NEJM</w:t>
      </w:r>
      <w:r>
        <w:t xml:space="preserve"> </w:t>
      </w:r>
      <w:r>
        <w:t xml:space="preserve">2005; RTOG recursive partitioning (gaspar 1997; Sperduto DS-GPA</w:t>
      </w:r>
      <w:r>
        <w:t xml:space="preserve"> </w:t>
      </w:r>
      <w:r>
        <w:rPr>
          <w:i/>
          <w:iCs/>
        </w:rPr>
        <w:t xml:space="preserve">JCO</w:t>
      </w:r>
      <w:r>
        <w:t xml:space="preserve"> </w:t>
      </w:r>
      <w:r>
        <w:t xml:space="preserve">2017/2020).</w:t>
      </w:r>
    </w:p>
    <w:p>
      <w:r>
        <w:pict>
          <v:rect style="width:0;height:1.5pt" o:hralign="center" o:hrstd="t" o:hr="t"/>
        </w:pict>
      </w:r>
    </w:p>
    <w:bookmarkEnd w:id="29"/>
    <w:bookmarkStart w:id="30" w:name="meem-mmse-e-moca"/>
    <w:p>
      <w:pPr>
        <w:pStyle w:val="3"/>
      </w:pPr>
      <w:r>
        <w:t xml:space="preserve">10. MEEM (MMSE) e MoCA</w:t>
      </w:r>
    </w:p>
    <w:p>
      <w:pPr>
        <w:pStyle w:val="FirstParagraph"/>
      </w:pPr>
      <w:r>
        <w:rPr>
          <w:b/>
          <w:bCs/>
        </w:rPr>
        <w:t xml:space="preserve">1. Identificação:</w:t>
      </w:r>
      <w:r>
        <w:t xml:space="preserve"> </w:t>
      </w:r>
      <w:r>
        <w:t xml:space="preserve">MMSE — Folstein MF et al.,</w:t>
      </w:r>
      <w:r>
        <w:t xml:space="preserve"> </w:t>
      </w:r>
      <w:r>
        <w:rPr>
          <w:i/>
          <w:iCs/>
        </w:rPr>
        <w:t xml:space="preserve">J Psychiatr Res</w:t>
      </w:r>
      <w:r>
        <w:t xml:space="preserve"> </w:t>
      </w:r>
      <w:r>
        <w:t xml:space="preserve">1975. MoCA — Nasreddine ZS et al.,</w:t>
      </w:r>
      <w:r>
        <w:t xml:space="preserve"> </w:t>
      </w:r>
      <w:r>
        <w:rPr>
          <w:i/>
          <w:iCs/>
        </w:rPr>
        <w:t xml:space="preserve">J Am Geriatr Soc</w:t>
      </w:r>
      <w:r>
        <w:t xml:space="preserve"> </w:t>
      </w:r>
      <w:r>
        <w:t xml:space="preserve">2005. Propósito: rastreio de declínio cognitivo (MMME: demência; MoCA: déficit cognitivo leve — DCL).</w:t>
      </w:r>
    </w:p>
    <w:p>
      <w:pPr>
        <w:pStyle w:val="a0"/>
      </w:pPr>
      <w:r>
        <w:rPr>
          <w:b/>
          <w:bCs/>
        </w:rPr>
        <w:t xml:space="preserve">2. Parâmetros — MMSE (0–30):</w:t>
      </w:r>
      <w:r>
        <w:t xml:space="preserve"> </w:t>
      </w:r>
      <w:r>
        <w:t xml:space="preserve">orientação temporal (5) + espacial (5), registro imediato (3), atenção/cálculo (5 — serial 7s ou soletrar</w:t>
      </w:r>
      <w:r>
        <w:t xml:space="preserve"> </w:t>
      </w:r>
      <w:r>
        <w:t xml:space="preserve">“</w:t>
      </w:r>
      <w:r>
        <w:t xml:space="preserve">mundo</w:t>
      </w:r>
      <w:r>
        <w:t xml:space="preserve">”</w:t>
      </w:r>
      <w:r>
        <w:t xml:space="preserve"> </w:t>
      </w:r>
      <w:r>
        <w:t xml:space="preserve">de trás para frente), evocação (3), linguagem: nomeação (2), repetição (1), comando de 3 estágios (3), leitura (1), escrita (1), cópia do pentágono (1).</w:t>
      </w:r>
    </w:p>
    <w:p>
      <w:pPr>
        <w:pStyle w:val="a0"/>
      </w:pPr>
      <w:r>
        <w:rPr>
          <w:b/>
          <w:bCs/>
        </w:rPr>
        <w:t xml:space="preserve">MoCA (0–30):</w:t>
      </w:r>
      <w:r>
        <w:t xml:space="preserve"> </w:t>
      </w:r>
      <w:r>
        <w:t xml:space="preserve">atenção (5), memória (5 — evocação diferida sem pistas), linguagem (3), abstração (2), evocação tardia (5), orientação (6), visuoespacial/executivo (5 — trilho, cópia do cubo, contagem do relógio).</w:t>
      </w:r>
      <w:r>
        <w:t xml:space="preserve"> </w:t>
      </w:r>
      <w:r>
        <w:rPr>
          <w:b/>
          <w:bCs/>
        </w:rPr>
        <w:t xml:space="preserve">Correção educacional: +1 ponto se ≤12 anos de estudo.</w:t>
      </w:r>
    </w:p>
    <w:p>
      <w:pPr>
        <w:pStyle w:val="a0"/>
      </w:pPr>
      <w:r>
        <w:rPr>
          <w:b/>
          <w:bCs/>
        </w:rPr>
        <w:t xml:space="preserve">3. Pontos de corte (Brasil — Bertolucci et al., 1994, ainda referência nacional):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Escolaridade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MMSE positivo (abaixo 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MoCA 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Analfabeto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 (adaptações regionais variam)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1–4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&lt;26 (corrigido)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5–8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&lt;26 (corrigido)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≥9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&lt;26 (corrigido)</w:t>
            </w:r>
          </w:p>
        </w:tc>
      </w:tr>
    </w:tbl>
    <w:p>
      <w:pPr>
        <w:pStyle w:val="a0"/>
      </w:pPr>
      <w:r>
        <w:rPr>
          <w:b/>
          <w:bCs/>
        </w:rPr>
        <w:t xml:space="preserve">Condutas após positivo:</w:t>
      </w:r>
      <w:r>
        <w:t xml:space="preserve"> </w:t>
      </w:r>
      <w:r>
        <w:t xml:space="preserve">investigação etiológica — exames laboratoriais (TSH, B12, folato, sífilis, HIV conforme risco, eletrólitos, função hepática/renal), neuroimagem (RM preferida em &lt;65 anos, déficits focais, início precoce), avaliação de humor (depressão pseudo-demência), review medicamentoso (anticolinérgicos, benzodiazepínicos); encaminhamento a neurologia/geriatria.</w:t>
      </w:r>
      <w:r>
        <w:t xml:space="preserve"> </w:t>
      </w:r>
      <w:r>
        <w:rPr>
          <w:b/>
          <w:bCs/>
        </w:rPr>
        <w:t xml:space="preserve">Nenhuma conduta farmacológica vinculada ao escore</w:t>
      </w:r>
      <w:r>
        <w:t xml:space="preserve"> </w:t>
      </w:r>
      <w:r>
        <w:t xml:space="preserve">— terapia anti-demência (inibidores de acetilcolinesterase: donepezila 5→10 mg/dia; rivastigmina 1,5→6 mg 2×/dia; galantamina 8→16–24 mg/dia; ou memantina 5→20 mg/dia para moderado-grave) é prescrita após diagnóstico etiológico, não pelo resultado do teste.</w:t>
      </w:r>
    </w:p>
    <w:p>
      <w:pPr>
        <w:pStyle w:val="a0"/>
      </w:pPr>
      <w:r>
        <w:rPr>
          <w:b/>
          <w:bCs/>
        </w:rPr>
        <w:t xml:space="preserve">4. Nuances:</w:t>
      </w:r>
      <w:r>
        <w:t xml:space="preserve"> </w:t>
      </w:r>
      <w:r>
        <w:t xml:space="preserve">MMSE insensível a DCL (falsos-negativos), sensível a escolaridade e idioma; MoCA mais sensível a DCL mas menos específico; ambos são rastreio, não diagnóstico; depressão, TCE, delirium e déficits sensoriais (audição/visão) invalidam aplicação; versões alternativas (MoCA 7.2, 7.3) para serialização; MMSE é insensível a alterações frontais/subcorticais (ex.: doença de Huntington, DFT comportamental inicial).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Folstein 1975; Nasreddine 2005; Bertolucci</w:t>
      </w:r>
      <w:r>
        <w:t xml:space="preserve"> </w:t>
      </w:r>
      <w:r>
        <w:rPr>
          <w:i/>
          <w:iCs/>
        </w:rPr>
        <w:t xml:space="preserve">Arq Neuropsiquiatr</w:t>
      </w:r>
      <w:r>
        <w:t xml:space="preserve"> </w:t>
      </w:r>
      <w:r>
        <w:t xml:space="preserve">1994; diretrizes de demências FLAS/GBE e Alzheimer Association.</w:t>
      </w:r>
    </w:p>
    <w:p>
      <w:r>
        <w:pict>
          <v:rect style="width:0;height:1.5pt" o:hralign="center" o:hrstd="t" o:hr="t"/>
        </w:pict>
      </w:r>
    </w:p>
    <w:bookmarkEnd w:id="30"/>
    <w:bookmarkStart w:id="31" w:name="hoehn-yahr-1967-modificada"/>
    <w:p>
      <w:pPr>
        <w:pStyle w:val="3"/>
      </w:pPr>
      <w:r>
        <w:t xml:space="preserve">11. Hoehn &amp; Yahr (1967, modificada)</w:t>
      </w:r>
    </w:p>
    <w:p>
      <w:pPr>
        <w:pStyle w:val="FirstParagraph"/>
      </w:pPr>
      <w:r>
        <w:rPr>
          <w:b/>
          <w:bCs/>
        </w:rPr>
        <w:t xml:space="preserve">1. Identificação:</w:t>
      </w:r>
      <w:r>
        <w:t xml:space="preserve"> </w:t>
      </w:r>
      <w:r>
        <w:t xml:space="preserve">Hoehn MM &amp; Yahr MD,</w:t>
      </w:r>
      <w:r>
        <w:t xml:space="preserve"> </w:t>
      </w:r>
      <w:r>
        <w:rPr>
          <w:i/>
          <w:iCs/>
        </w:rPr>
        <w:t xml:space="preserve">Neurology</w:t>
      </w:r>
      <w:r>
        <w:t xml:space="preserve"> </w:t>
      </w:r>
      <w:r>
        <w:t xml:space="preserve">1967; versão modificada (Goetz et al., 2004) com estágios 1.5 e 2.5. Propósito: estadiamento motor da doença de Parkinson.</w:t>
      </w:r>
    </w:p>
    <w:p>
      <w:pPr>
        <w:pStyle w:val="a0"/>
      </w:pPr>
      <w:r>
        <w:rPr>
          <w:b/>
          <w:bCs/>
        </w:rPr>
        <w:t xml:space="preserve">2. Parâmetros: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Estágio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sinais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Envolvimento unilateral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+ comprometimento axial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Bilateral, sem alteração de equilíbrio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Comprometimento axial, recupera no teste de puxão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Comprometimento bilateral leve-moderado com instabilidade postural; fisicamente independente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Incapacidade grave; ainda capaz de andar/levantar sem assistência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Confinado a cadeira de rodas ou leito sem assistência</w:t>
            </w:r>
          </w:p>
        </w:tc>
      </w:tr>
    </w:tbl>
    <w:p>
      <w:pPr>
        <w:pStyle w:val="a0"/>
      </w:pPr>
      <w:r>
        <w:rPr>
          <w:b/>
          <w:bCs/>
        </w:rPr>
        <w:t xml:space="preserve">3. Condutas:</w:t>
      </w:r>
      <w:r>
        <w:t xml:space="preserve"> </w:t>
      </w:r>
      <w:r>
        <w:t xml:space="preserve">estágio 1–2 → terapia dopaminérgica sintomática (levodopa/carbidopa, agonistas dopaminérgicos, IMAO-B, inibidores de COMT) individualizada;</w:t>
      </w:r>
      <w:r>
        <w:t xml:space="preserve"> </w:t>
      </w:r>
      <w:r>
        <w:rPr>
          <w:b/>
          <w:bCs/>
        </w:rPr>
        <w:t xml:space="preserve">estágio ≥2.5–3 com flutuações motoras</w:t>
      </w:r>
      <w:r>
        <w:t xml:space="preserve"> </w:t>
      </w:r>
      <w:r>
        <w:t xml:space="preserve">→ candidato a terapias avançadas: estimulação cerebral profunda (DBS), levodopa-carbidopa gel intestinal, apomorfina SC — decisão guiada também por idade e cognição, não apenas estágio; estágio 4–5 → foco em cuidados, prevenção de quedas, aspiração, escaras.</w:t>
      </w:r>
      <w:r>
        <w:t xml:space="preserve"> </w:t>
      </w:r>
      <w:r>
        <w:rPr>
          <w:b/>
          <w:bCs/>
        </w:rPr>
        <w:t xml:space="preserve">Nenhuma conduta farmacológica vinculada diretamente à pontuação.</w:t>
      </w:r>
    </w:p>
    <w:p>
      <w:pPr>
        <w:pStyle w:val="a0"/>
      </w:pPr>
      <w:r>
        <w:rPr>
          <w:b/>
          <w:bCs/>
        </w:rPr>
        <w:t xml:space="preserve">4. Nuances:</w:t>
      </w:r>
      <w:r>
        <w:t xml:space="preserve"> </w:t>
      </w:r>
      <w:r>
        <w:t xml:space="preserve">escala unidimensional (apenas motor — ignora cognição, humor, autonomia, síndrome dopaminérgica); versão modificada melhora sensibilidade a progressão precoce; tremor dominante pode confundir classificação; teste de puxão (pull test) padronizado é pré-requisito para 2.5.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Hoehn &amp; Yahr 1967; Goetz</w:t>
      </w:r>
      <w:r>
        <w:t xml:space="preserve"> </w:t>
      </w:r>
      <w:r>
        <w:rPr>
          <w:i/>
          <w:iCs/>
        </w:rPr>
        <w:t xml:space="preserve">Mov Disord</w:t>
      </w:r>
      <w:r>
        <w:t xml:space="preserve"> </w:t>
      </w:r>
      <w:r>
        <w:t xml:space="preserve">2004 (MDS-UPDRS como substituto mais completo — UPDRS parts I–IV, 2022 revision MDS-UPDRS).</w:t>
      </w:r>
    </w:p>
    <w:p>
      <w:r>
        <w:pict>
          <v:rect style="width:0;height:1.5pt" o:hralign="center" o:hrstd="t" o:hr="t"/>
        </w:pict>
      </w:r>
    </w:p>
    <w:bookmarkEnd w:id="31"/>
    <w:bookmarkStart w:id="32" w:name="edss-expanded-disability-status-scale"/>
    <w:p>
      <w:pPr>
        <w:pStyle w:val="3"/>
      </w:pPr>
      <w:r>
        <w:t xml:space="preserve">12. EDSS (Expanded Disability Status Scale)</w:t>
      </w:r>
    </w:p>
    <w:p>
      <w:pPr>
        <w:pStyle w:val="FirstParagraph"/>
      </w:pPr>
      <w:r>
        <w:rPr>
          <w:b/>
          <w:bCs/>
        </w:rPr>
        <w:t xml:space="preserve">1. Identificação:</w:t>
      </w:r>
      <w:r>
        <w:t xml:space="preserve"> </w:t>
      </w:r>
      <w:r>
        <w:t xml:space="preserve">Kurtzke JF,</w:t>
      </w:r>
      <w:r>
        <w:t xml:space="preserve"> </w:t>
      </w:r>
      <w:r>
        <w:rPr>
          <w:i/>
          <w:iCs/>
        </w:rPr>
        <w:t xml:space="preserve">Neurology</w:t>
      </w:r>
      <w:r>
        <w:t xml:space="preserve"> </w:t>
      </w:r>
      <w:r>
        <w:t xml:space="preserve">1983 (evolução da DSS de 1955). Propósito: quantificar incapacidade e monitorar progressão na esclerose múltipla. Padrão em ensaios clínicos (desfecho primário tradicional: progressão confirmada EDSS).</w:t>
      </w:r>
    </w:p>
    <w:p>
      <w:pPr>
        <w:pStyle w:val="a0"/>
      </w:pPr>
      <w:r>
        <w:rPr>
          <w:b/>
          <w:bCs/>
        </w:rPr>
        <w:t xml:space="preserve">2. Parâmetros:</w:t>
      </w:r>
      <w:r>
        <w:t xml:space="preserve"> </w:t>
      </w:r>
      <w:r>
        <w:t xml:space="preserve">pontuação 0–10 (passos de 0,5) baseada em 7 sistemas funcionais (piramidal, cerebelar, tronco cerebral, sensitivo, vesical-intestinal, visual, cerebral/psíquico) + marcha. Âncoras funcionais de marcha: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incapacidade; sinais mínimos em 1 SF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Mínima incapacidade em 1 SF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Incapacidade moderada em 1 SF ou leve em 3–4 SF; marcha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 completa com limitação significativa; assistência máx. ocasional &gt;500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 ~500 m com assistência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Limitação severa; marcha ~200 m sem assistência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 ~100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Auxílio unilateral para marcha ~100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Auxílio bilateral constante; ~20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Cadeira de rodas; ainda autonomia &gt;12 h/dia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Essencialmente restrito à cama/cadeira; alguma autonomia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Acamado; pode comunicar/comer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Morte por EM</w:t>
            </w:r>
          </w:p>
        </w:tc>
      </w:tr>
    </w:tbl>
    <w:p>
      <w:pPr>
        <w:pStyle w:val="a0"/>
      </w:pPr>
      <w:r>
        <w:rPr>
          <w:b/>
          <w:bCs/>
        </w:rPr>
        <w:t xml:space="preserve">3. Condutas:</w:t>
      </w:r>
      <w:r>
        <w:t xml:space="preserve"> </w:t>
      </w:r>
      <w:r>
        <w:t xml:space="preserve">EDSS guia agressividade terapêutica — doença ativa com EDSS baixo a moderado (≤6) → terapias modificadoras de alta eficácia precocemente (anticorpos: natalizumabe 300 mg IV q4semanas; ocrelizumabe 600 mg IV semestral; alemtuzumabe; fumarato, fingolimode, cladribina conforme perfil); EDSS alto com progressão independente de atividade → abordagens paliativas/reabilitação; progressão confirmada (aumento ≥0,5 se baseline ≥5,5 ou ≥1,0 se &lt;5,5, mantido ≥6–12 meses) define falha terapêutica.</w:t>
      </w:r>
      <w:r>
        <w:t xml:space="preserve"> </w:t>
      </w:r>
      <w:r>
        <w:rPr>
          <w:b/>
          <w:bCs/>
        </w:rPr>
        <w:t xml:space="preserve">Nenhuma conduta vinculada a um número isolado — interpretação longitudinal.</w:t>
      </w:r>
    </w:p>
    <w:p>
      <w:pPr>
        <w:pStyle w:val="a0"/>
      </w:pPr>
      <w:r>
        <w:rPr>
          <w:b/>
          <w:bCs/>
        </w:rPr>
        <w:t xml:space="preserve">4. Nuances:</w:t>
      </w:r>
      <w:r>
        <w:t xml:space="preserve"> </w:t>
      </w:r>
      <w:r>
        <w:t xml:space="preserve">assimetria de sensibilidade (mais sensível na faixa de marcha 4–7; menos nas extremidades 1–3 e 8–10); desempenho cognitivo e fadiga mal capturados (complementar com SDMT — Symbol Digit Modalities Test); viés interobservador substancial (requer certificação — e.g., Neurostatus); paciente</w:t>
      </w:r>
      <w:r>
        <w:t xml:space="preserve"> </w:t>
      </w:r>
      <w:r>
        <w:t xml:space="preserve">“</w:t>
      </w:r>
      <w:r>
        <w:t xml:space="preserve">mede melhor</w:t>
      </w:r>
      <w:r>
        <w:t xml:space="preserve">”</w:t>
      </w:r>
      <w:r>
        <w:t xml:space="preserve"> </w:t>
      </w:r>
      <w:r>
        <w:t xml:space="preserve">em dias de exame (familiaridade); interferência de flare pode inflar temporariamente a pontuação.</w:t>
      </w:r>
    </w:p>
    <w:p>
      <w:pPr>
        <w:pStyle w:val="a0"/>
      </w:pPr>
      <w:r>
        <w:rPr>
          <w:b/>
          <w:bCs/>
        </w:rPr>
        <w:t xml:space="preserve">5. Evidências:</w:t>
      </w:r>
      <w:r>
        <w:t xml:space="preserve"> </w:t>
      </w:r>
      <w:r>
        <w:t xml:space="preserve">Kurtzke</w:t>
      </w:r>
      <w:r>
        <w:t xml:space="preserve"> </w:t>
      </w:r>
      <w:r>
        <w:rPr>
          <w:i/>
          <w:iCs/>
        </w:rPr>
        <w:t xml:space="preserve">Neurol</w:t>
      </w:r>
      <w:r>
        <w:t xml:space="preserve"> </w:t>
      </w:r>
      <w:r>
        <w:t xml:space="preserve">1983; definição de progressão confirmada nos ensaios (e.g., OPERA, ORATORIO — ocrelizumabe); diretrizes ECTRIMS 2023; comparação com múltiplas escalas (MSFC) como desfechos complementares.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Aviso de Segurança:</w:t>
      </w:r>
      <w:r>
        <w:t xml:space="preserve"> </w:t>
      </w:r>
      <w:r>
        <w:t xml:space="preserve">Este compilado técnico tem caráter exclusivamente educacional e de suporte à consulta médica informada. Escores prognósticos e calculadoras clínicas servem como subsídio à decisão clínica e não substituem o julgamento presencial individualizado do profissional assistente.</w:t>
      </w:r>
    </w:p>
    <w:p>
      <w:r>
        <w:pict>
          <v:rect style="width:0;height:1.5pt" o:hralign="center" o:hrstd="t" o:hr="t"/>
        </w:pict>
      </w:r>
    </w:p>
    <w:bookmarkEnd w:id="32"/>
    <w:bookmarkEnd w:id="3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2026-09-22T06:14:38Z</dcterms:created>
  <dcterms:modified xsi:type="dcterms:W3CDTF">2026-09-22T06:14:38Z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e7m5ptoomb4261vc20-1a0c7b8d-0282-8538-8000-095981af0dc9-20260922141438","ReservedCode1":"","ContentPropagator":"001191110108MACG2KBH8F20000","PropagateID":"d9e7m5ptoomb4261vc20-1a0c7b8d-0282-8538-8000-095981af0dc9-20260922141438","ReservedCode2":""}</vt:lpwstr>
  </property>
</Properties>
</file>