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32.760009765625" w:right="7281.85302734375" w:hanging="25.5599975585937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Session 1: Orientation —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Build trust and shared norms; clarify  mentoring goals and expectations.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234375" w:line="239.90405559539795" w:lineRule="auto"/>
        <w:ind w:left="16.920013427734375" w:right="5857.70263671875" w:hanging="9.7200012207031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Session 2: Identity and its Intersections —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Explore identity, privilege,  and intersectionality; apply to mentoring case studies.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240478515625" w:line="239.9037265777588" w:lineRule="auto"/>
        <w:ind w:left="13.679962158203125" w:right="5635.111083984375" w:hanging="6.47994995117187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Session 3: Engaging in Empathic Conversations —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 empathy-centered approaches for difficult conversations and feedback.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252685546875" w:line="239.90389823913574" w:lineRule="auto"/>
        <w:ind w:left="7.20001220703125" w:right="5976.842041015625" w:hanging="6.47994995117187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Session 4: Racialized Experiences in STEM —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Examine systemic  racism in STEM and what culturally aware mentoring can and cannot  do.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8290324</wp:posOffset>
            </wp:positionH>
            <wp:positionV relativeFrom="paragraph">
              <wp:posOffset>-257160</wp:posOffset>
            </wp:positionV>
            <wp:extent cx="3484176" cy="2021463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176" cy="2021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240478515625" w:line="239.9037265777588" w:lineRule="auto"/>
        <w:ind w:left="13.679962158203125" w:right="6269.04296875" w:hanging="6.47994995117187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Session 5: Color-Evasive Practices —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Identify and interrupt  color-evasive language; practice race-aware, accountable responses.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240478515625" w:line="239.9037265777588" w:lineRule="auto"/>
        <w:ind w:left="3.2399749755859375" w:right="5519.6728515625" w:firstLine="3.96003723144531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Session 6: From Deficit to Asset-Based Mentoring —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Shift from deficit  framing to strengths-based mentoring; name and affirm community  cultural wealth.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24658203125" w:line="239.9037265777588" w:lineRule="auto"/>
        <w:ind w:left="0" w:right="5626.951904296875" w:firstLine="7.200012207031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Session 7: Embodying Culturally Responsive Mentorship —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Integrate  course lessons through mentoring-plan critique and role-play; close  with reflection and gratitude.</w:t>
      </w:r>
    </w:p>
    <w:sectPr>
      <w:pgSz w:h="10800" w:w="19200" w:orient="landscape"/>
      <w:pgMar w:bottom="579.615478515625" w:top="356.38671875" w:left="643.8248443603516" w:right="36.4550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