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B936" w14:textId="77777777" w:rsidR="002F4658" w:rsidRDefault="00000000">
      <w:pPr>
        <w:pStyle w:val="Title"/>
        <w:spacing w:after="120"/>
        <w:ind w:right="-360"/>
        <w:jc w:val="center"/>
        <w:rPr>
          <w:rFonts w:ascii="Montserrat" w:eastAsia="Montserrat" w:hAnsi="Montserrat" w:cs="Montserrat"/>
          <w:color w:val="000000"/>
          <w:sz w:val="44"/>
          <w:szCs w:val="44"/>
        </w:rPr>
      </w:pPr>
      <w:r>
        <w:rPr>
          <w:rFonts w:ascii="Montserrat" w:eastAsia="Montserrat" w:hAnsi="Montserrat" w:cs="Montserrat"/>
          <w:color w:val="000000"/>
          <w:sz w:val="44"/>
          <w:szCs w:val="44"/>
        </w:rPr>
        <w:t>SI-MI: Social Identity Matters in Mentoring</w:t>
      </w:r>
    </w:p>
    <w:p w14:paraId="3541B937" w14:textId="77777777" w:rsidR="002F4658" w:rsidRDefault="00000000">
      <w:pPr>
        <w:pStyle w:val="Heading1"/>
        <w:ind w:right="-360"/>
        <w:rPr>
          <w:rFonts w:ascii="Montserrat" w:eastAsia="Montserrat" w:hAnsi="Montserrat" w:cs="Montserrat"/>
          <w:sz w:val="24"/>
          <w:szCs w:val="24"/>
        </w:rPr>
      </w:pPr>
      <w:bookmarkStart w:id="0" w:name="_heading=h.wsb3tk2e8lem" w:colFirst="0" w:colLast="0"/>
      <w:bookmarkEnd w:id="0"/>
      <w:r>
        <w:rPr>
          <w:rFonts w:ascii="Montserrat" w:eastAsia="Montserrat" w:hAnsi="Montserrat" w:cs="Montserrat"/>
        </w:rPr>
        <w:t xml:space="preserve">Session 5: Color-Evasive Practices </w:t>
      </w:r>
    </w:p>
    <w:p w14:paraId="3541B938" w14:textId="77777777" w:rsidR="002F4658" w:rsidRDefault="002F4658">
      <w:pPr>
        <w:spacing w:after="0" w:line="240" w:lineRule="auto"/>
        <w:ind w:right="-360"/>
        <w:jc w:val="both"/>
        <w:rPr>
          <w:rFonts w:ascii="Montserrat" w:eastAsia="Montserrat" w:hAnsi="Montserrat" w:cs="Montserrat"/>
          <w:b/>
          <w:bCs/>
        </w:rPr>
      </w:pPr>
    </w:p>
    <w:p w14:paraId="3541B939"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Guiding question: </w:t>
      </w:r>
      <w:r>
        <w:rPr>
          <w:rFonts w:ascii="Montserrat" w:eastAsia="Montserrat" w:hAnsi="Montserrat" w:cs="Montserrat"/>
        </w:rPr>
        <w:t>How do color-evasive practices show up in mentoring, and how can mentors move toward more race-conscious and accountable approaches?</w:t>
      </w:r>
    </w:p>
    <w:p w14:paraId="3541B93A" w14:textId="77777777" w:rsidR="002F4658" w:rsidRDefault="002F4658">
      <w:pPr>
        <w:spacing w:after="0" w:line="240" w:lineRule="auto"/>
        <w:ind w:right="-360"/>
        <w:jc w:val="both"/>
        <w:rPr>
          <w:rFonts w:ascii="Montserrat" w:eastAsia="Montserrat" w:hAnsi="Montserrat" w:cs="Montserrat"/>
          <w:b/>
          <w:bCs/>
          <w:sz w:val="10"/>
          <w:szCs w:val="10"/>
        </w:rPr>
      </w:pPr>
    </w:p>
    <w:p w14:paraId="3541B93B"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 xml:space="preserve">Overview: </w:t>
      </w:r>
      <w:r>
        <w:rPr>
          <w:rFonts w:ascii="Montserrat" w:eastAsia="Montserrat" w:hAnsi="Montserrat" w:cs="Montserrat"/>
        </w:rPr>
        <w:t>This session explores color-evasive language and practices and how they can obscure or minimize racial realities in academic settings. Participants will consider how these patterns show up in mentoring and will reflect on how more race-conscious, responsive approaches can better support students of color.</w:t>
      </w:r>
    </w:p>
    <w:p w14:paraId="3541B93C" w14:textId="77777777" w:rsidR="002F4658" w:rsidRDefault="002F4658">
      <w:pPr>
        <w:spacing w:after="0" w:line="240" w:lineRule="auto"/>
        <w:ind w:right="-360"/>
        <w:jc w:val="both"/>
        <w:rPr>
          <w:rFonts w:ascii="Montserrat" w:eastAsia="Montserrat" w:hAnsi="Montserrat" w:cs="Montserrat"/>
          <w:sz w:val="8"/>
          <w:szCs w:val="8"/>
        </w:rPr>
      </w:pPr>
    </w:p>
    <w:p w14:paraId="3541B93D" w14:textId="77777777" w:rsidR="002F4658" w:rsidRDefault="00000000">
      <w:pPr>
        <w:spacing w:after="120" w:line="240" w:lineRule="auto"/>
        <w:ind w:right="-360"/>
        <w:jc w:val="both"/>
        <w:rPr>
          <w:rFonts w:ascii="Montserrat" w:eastAsia="Montserrat" w:hAnsi="Montserrat" w:cs="Montserrat"/>
          <w:b/>
          <w:bCs/>
          <w:color w:val="264653"/>
        </w:rPr>
      </w:pPr>
      <w:r>
        <w:rPr>
          <w:rFonts w:ascii="Montserrat" w:eastAsia="Montserrat" w:hAnsi="Montserrat" w:cs="Montserrat"/>
          <w:b/>
          <w:bCs/>
        </w:rPr>
        <w:t>Objectives</w:t>
      </w:r>
      <w:r>
        <w:rPr>
          <w:rFonts w:ascii="Montserrat" w:eastAsia="Montserrat" w:hAnsi="Montserrat" w:cs="Montserrat"/>
          <w:b/>
          <w:bCs/>
          <w:color w:val="264653"/>
        </w:rPr>
        <w:t xml:space="preserve">: </w:t>
      </w:r>
    </w:p>
    <w:p w14:paraId="3541B93E"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Identify examples of color-evasive language, behavior, and assumptions.</w:t>
      </w:r>
    </w:p>
    <w:p w14:paraId="3541B93F"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Understand how these practices can affect mentees and perpetuate inequity.</w:t>
      </w:r>
    </w:p>
    <w:p w14:paraId="3541B940" w14:textId="77777777" w:rsidR="002F4658" w:rsidRDefault="00000000">
      <w:pPr>
        <w:numPr>
          <w:ilvl w:val="0"/>
          <w:numId w:val="9"/>
        </w:numPr>
        <w:spacing w:after="0" w:line="240" w:lineRule="auto"/>
        <w:ind w:right="-360"/>
        <w:jc w:val="both"/>
        <w:rPr>
          <w:rFonts w:ascii="Montserrat" w:eastAsia="Montserrat" w:hAnsi="Montserrat" w:cs="Montserrat"/>
        </w:rPr>
      </w:pPr>
      <w:r>
        <w:rPr>
          <w:rFonts w:ascii="Montserrat" w:eastAsia="Montserrat" w:hAnsi="Montserrat" w:cs="Montserrat"/>
        </w:rPr>
        <w:t>Reflect on how mentoring responses can move from avoidance toward greater racial awareness and accountability.</w:t>
      </w:r>
    </w:p>
    <w:p w14:paraId="3541B941" w14:textId="77777777" w:rsidR="002F4658" w:rsidRDefault="002F4658">
      <w:pPr>
        <w:spacing w:after="0" w:line="240" w:lineRule="auto"/>
        <w:ind w:left="720" w:right="-360"/>
        <w:jc w:val="both"/>
        <w:rPr>
          <w:rFonts w:ascii="Montserrat" w:eastAsia="Montserrat" w:hAnsi="Montserrat" w:cs="Montserrat"/>
          <w:sz w:val="4"/>
          <w:szCs w:val="4"/>
        </w:rPr>
      </w:pPr>
    </w:p>
    <w:p w14:paraId="3541B942"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 xml:space="preserve">Before the Session: </w:t>
      </w:r>
      <w:r>
        <w:rPr>
          <w:rFonts w:ascii="Montserrat" w:eastAsia="Montserrat" w:hAnsi="Montserrat" w:cs="Montserrat"/>
        </w:rPr>
        <w:t>Complete the assigned videos and reflection exercise before the session. Come ready to discuss how common statements or assumptions can overlook racial context and how those patterns may affect mentoring.</w:t>
      </w:r>
    </w:p>
    <w:p w14:paraId="3541B943" w14:textId="77777777" w:rsidR="002F4658" w:rsidRDefault="00000000">
      <w:pPr>
        <w:widowControl w:val="0"/>
        <w:numPr>
          <w:ilvl w:val="0"/>
          <w:numId w:val="4"/>
        </w:numPr>
        <w:spacing w:after="0" w:line="240" w:lineRule="auto"/>
        <w:ind w:right="-360"/>
        <w:rPr>
          <w:rFonts w:ascii="Arial" w:eastAsia="Arial" w:hAnsi="Arial" w:cs="Arial"/>
        </w:rPr>
      </w:pPr>
      <w:r>
        <w:rPr>
          <w:rFonts w:ascii="Montserrat" w:eastAsia="Montserrat" w:hAnsi="Montserrat" w:cs="Montserrat"/>
          <w:b/>
          <w:bCs/>
        </w:rPr>
        <w:t xml:space="preserve">Watch: </w:t>
      </w:r>
      <w:r>
        <w:rPr>
          <w:rFonts w:ascii="Montserrat" w:eastAsia="Montserrat" w:hAnsi="Montserrat" w:cs="Montserrat"/>
        </w:rPr>
        <w:t xml:space="preserve">TED Talk: </w:t>
      </w:r>
      <w:hyperlink r:id="rId6">
        <w:r>
          <w:rPr>
            <w:rFonts w:ascii="Montserrat" w:eastAsia="Montserrat" w:hAnsi="Montserrat" w:cs="Montserrat"/>
            <w:color w:val="1155CC"/>
            <w:u w:val="single"/>
          </w:rPr>
          <w:t>Color Blind or Color Brave?</w:t>
        </w:r>
      </w:hyperlink>
      <w:r>
        <w:rPr>
          <w:rFonts w:ascii="Montserrat" w:eastAsia="Montserrat" w:hAnsi="Montserrat" w:cs="Montserrat"/>
        </w:rPr>
        <w:t xml:space="preserve"> by Mellody Hobson</w:t>
      </w:r>
    </w:p>
    <w:p w14:paraId="3541B944" w14:textId="77777777" w:rsidR="002F4658" w:rsidRDefault="00000000">
      <w:pPr>
        <w:widowControl w:val="0"/>
        <w:numPr>
          <w:ilvl w:val="1"/>
          <w:numId w:val="4"/>
        </w:numPr>
        <w:spacing w:after="0" w:line="240" w:lineRule="auto"/>
        <w:ind w:right="-360"/>
        <w:rPr>
          <w:rFonts w:ascii="Montserrat" w:eastAsia="Montserrat" w:hAnsi="Montserrat" w:cs="Montserrat"/>
        </w:rPr>
      </w:pPr>
      <w:r>
        <w:rPr>
          <w:rFonts w:ascii="Montserrat" w:eastAsia="Montserrat" w:hAnsi="Montserrat" w:cs="Montserrat"/>
          <w:u w:val="single"/>
        </w:rPr>
        <w:t>Note</w:t>
      </w:r>
      <w:r>
        <w:rPr>
          <w:rFonts w:ascii="Montserrat" w:eastAsia="Montserrat" w:hAnsi="Montserrat" w:cs="Montserrat"/>
        </w:rPr>
        <w:t>: Since 2014, the ableist term “color blind” has been replaced by “color evasive.”</w:t>
      </w:r>
    </w:p>
    <w:p w14:paraId="3541B945" w14:textId="77777777" w:rsidR="002F4658" w:rsidRDefault="00000000">
      <w:pPr>
        <w:numPr>
          <w:ilvl w:val="0"/>
          <w:numId w:val="4"/>
        </w:numPr>
        <w:spacing w:after="0" w:line="240" w:lineRule="auto"/>
        <w:ind w:right="-360"/>
        <w:jc w:val="both"/>
        <w:rPr>
          <w:rFonts w:ascii="Arial" w:eastAsia="Arial" w:hAnsi="Arial" w:cs="Arial"/>
        </w:rPr>
      </w:pPr>
      <w:r>
        <w:rPr>
          <w:rFonts w:ascii="Montserrat" w:eastAsia="Montserrat" w:hAnsi="Montserrat" w:cs="Montserrat"/>
          <w:b/>
          <w:bCs/>
        </w:rPr>
        <w:t>Watch</w:t>
      </w:r>
      <w:r>
        <w:rPr>
          <w:rFonts w:ascii="Montserrat" w:eastAsia="Montserrat" w:hAnsi="Montserrat" w:cs="Montserrat"/>
        </w:rPr>
        <w:t xml:space="preserve">: </w:t>
      </w:r>
      <w:hyperlink r:id="rId7">
        <w:r>
          <w:rPr>
            <w:rFonts w:ascii="Montserrat" w:eastAsia="Montserrat" w:hAnsi="Montserrat" w:cs="Montserrat"/>
            <w:color w:val="1155CC"/>
            <w:u w:val="single"/>
          </w:rPr>
          <w:t>Color Evasiveness</w:t>
        </w:r>
      </w:hyperlink>
      <w:r>
        <w:rPr>
          <w:rFonts w:ascii="Montserrat" w:eastAsia="Montserrat" w:hAnsi="Montserrat" w:cs="Montserrat"/>
        </w:rPr>
        <w:t xml:space="preserve"> by Angela Davis</w:t>
      </w:r>
    </w:p>
    <w:p w14:paraId="3541B946" w14:textId="77777777" w:rsidR="002F4658" w:rsidRDefault="00000000">
      <w:pPr>
        <w:numPr>
          <w:ilvl w:val="0"/>
          <w:numId w:val="4"/>
        </w:numPr>
        <w:spacing w:after="0" w:line="240" w:lineRule="auto"/>
        <w:ind w:right="-360"/>
        <w:jc w:val="both"/>
        <w:rPr>
          <w:rFonts w:ascii="Montserrat" w:eastAsia="Montserrat" w:hAnsi="Montserrat" w:cs="Montserrat"/>
        </w:rPr>
      </w:pPr>
      <w:r>
        <w:rPr>
          <w:rFonts w:ascii="Montserrat" w:eastAsia="Montserrat" w:hAnsi="Montserrat" w:cs="Montserrat"/>
          <w:b/>
          <w:bCs/>
        </w:rPr>
        <w:t xml:space="preserve">Reflect: </w:t>
      </w:r>
    </w:p>
    <w:p w14:paraId="3541B947" w14:textId="77777777" w:rsidR="002F4658" w:rsidRDefault="00000000">
      <w:pPr>
        <w:numPr>
          <w:ilvl w:val="1"/>
          <w:numId w:val="4"/>
        </w:numPr>
        <w:spacing w:after="0" w:line="240" w:lineRule="auto"/>
        <w:ind w:right="-360"/>
        <w:jc w:val="both"/>
        <w:rPr>
          <w:rFonts w:ascii="Montserrat" w:eastAsia="Montserrat" w:hAnsi="Montserrat" w:cs="Montserrat"/>
        </w:rPr>
      </w:pPr>
      <w:r>
        <w:rPr>
          <w:rFonts w:ascii="Montserrat" w:eastAsia="Montserrat" w:hAnsi="Montserrat" w:cs="Montserrat"/>
        </w:rPr>
        <w:t>Consider the following statements. How does each statement lack a racial awareness lens? What are the potential effects of these statements on students of color? For each statement, what situation is more likely to be true?</w:t>
      </w:r>
    </w:p>
    <w:p w14:paraId="3541B948" w14:textId="77777777" w:rsidR="002F4658" w:rsidRDefault="00000000">
      <w:pPr>
        <w:numPr>
          <w:ilvl w:val="2"/>
          <w:numId w:val="4"/>
        </w:numPr>
        <w:spacing w:after="0" w:line="240" w:lineRule="auto"/>
        <w:ind w:right="-360"/>
        <w:jc w:val="both"/>
        <w:rPr>
          <w:rFonts w:ascii="Montserrat" w:eastAsia="Montserrat" w:hAnsi="Montserrat" w:cs="Montserrat"/>
        </w:rPr>
      </w:pPr>
      <w:r>
        <w:rPr>
          <w:rFonts w:ascii="Montserrat" w:eastAsia="Montserrat" w:hAnsi="Montserrat" w:cs="Montserrat"/>
          <w:u w:val="single"/>
        </w:rPr>
        <w:t>Statement A</w:t>
      </w:r>
      <w:r>
        <w:rPr>
          <w:rFonts w:ascii="Montserrat" w:eastAsia="Montserrat" w:hAnsi="Montserrat" w:cs="Montserrat"/>
        </w:rPr>
        <w:t>: "I think if students of color just felt more confident and asked for help, they would be fine."</w:t>
      </w:r>
    </w:p>
    <w:p w14:paraId="3541B949" w14:textId="77777777" w:rsidR="002F4658" w:rsidRDefault="00000000">
      <w:pPr>
        <w:numPr>
          <w:ilvl w:val="2"/>
          <w:numId w:val="4"/>
        </w:numPr>
        <w:spacing w:after="0" w:line="240" w:lineRule="auto"/>
        <w:ind w:right="-360"/>
        <w:jc w:val="both"/>
        <w:rPr>
          <w:rFonts w:ascii="Montserrat" w:eastAsia="Montserrat" w:hAnsi="Montserrat" w:cs="Montserrat"/>
        </w:rPr>
      </w:pPr>
      <w:r>
        <w:rPr>
          <w:rFonts w:ascii="Montserrat" w:eastAsia="Montserrat" w:hAnsi="Montserrat" w:cs="Montserrat"/>
          <w:u w:val="single"/>
        </w:rPr>
        <w:t>Statement B</w:t>
      </w:r>
      <w:r>
        <w:rPr>
          <w:rFonts w:ascii="Montserrat" w:eastAsia="Montserrat" w:hAnsi="Montserrat" w:cs="Montserrat"/>
        </w:rPr>
        <w:t>: "In some communities, families just don't have the same love of science."</w:t>
      </w:r>
    </w:p>
    <w:p w14:paraId="3541B94A" w14:textId="77777777" w:rsidR="002F4658" w:rsidRDefault="00000000">
      <w:pPr>
        <w:numPr>
          <w:ilvl w:val="2"/>
          <w:numId w:val="4"/>
        </w:numPr>
        <w:spacing w:after="120" w:line="240" w:lineRule="auto"/>
        <w:ind w:right="-360"/>
        <w:jc w:val="both"/>
        <w:rPr>
          <w:rFonts w:ascii="Montserrat" w:eastAsia="Montserrat" w:hAnsi="Montserrat" w:cs="Montserrat"/>
        </w:rPr>
      </w:pPr>
      <w:r>
        <w:rPr>
          <w:rFonts w:ascii="Montserrat" w:eastAsia="Montserrat" w:hAnsi="Montserrat" w:cs="Montserrat"/>
          <w:u w:val="single"/>
        </w:rPr>
        <w:t>Statement C</w:t>
      </w:r>
      <w:r>
        <w:rPr>
          <w:rFonts w:ascii="Montserrat" w:eastAsia="Montserrat" w:hAnsi="Montserrat" w:cs="Montserrat"/>
        </w:rPr>
        <w:t>: "It's not racial, it's about students who are from low-income schools that are underprepared."</w:t>
      </w:r>
    </w:p>
    <w:p w14:paraId="3541B94B" w14:textId="77777777" w:rsidR="002F4658" w:rsidRDefault="002F4658">
      <w:pPr>
        <w:spacing w:after="0" w:line="240" w:lineRule="auto"/>
        <w:ind w:right="-360"/>
        <w:jc w:val="both"/>
        <w:rPr>
          <w:rFonts w:ascii="Montserrat" w:eastAsia="Montserrat" w:hAnsi="Montserrat" w:cs="Montserrat"/>
          <w:sz w:val="2"/>
          <w:szCs w:val="2"/>
        </w:rPr>
      </w:pPr>
    </w:p>
    <w:p w14:paraId="3541B94C" w14:textId="77777777" w:rsidR="002F4658" w:rsidRDefault="00000000">
      <w:pPr>
        <w:spacing w:after="0" w:line="240" w:lineRule="auto"/>
        <w:ind w:right="-360"/>
        <w:jc w:val="both"/>
        <w:rPr>
          <w:rFonts w:ascii="Montserrat" w:eastAsia="Montserrat" w:hAnsi="Montserrat" w:cs="Montserrat"/>
        </w:rPr>
      </w:pPr>
      <w:r>
        <w:rPr>
          <w:rFonts w:ascii="Montserrat" w:eastAsia="Montserrat" w:hAnsi="Montserrat" w:cs="Montserrat"/>
          <w:b/>
          <w:bCs/>
        </w:rPr>
        <w:t>What to Expect in the Live Session:</w:t>
      </w:r>
      <w:r>
        <w:rPr>
          <w:rFonts w:ascii="Montserrat" w:eastAsia="Montserrat" w:hAnsi="Montserrat" w:cs="Montserrat"/>
        </w:rPr>
        <w:t xml:space="preserve"> The live session will include group discussion, breakout conversations, and broad application of the week's ideas to mentoring contexts. Participants should expect to analyze examples, reflect on their own practice, and consider how to respond more thoughtfully in racially charged situations.</w:t>
      </w:r>
    </w:p>
    <w:p w14:paraId="3541B94D" w14:textId="77777777" w:rsidR="002F4658" w:rsidRDefault="002F4658">
      <w:pPr>
        <w:spacing w:after="0" w:line="240" w:lineRule="auto"/>
        <w:ind w:right="-360"/>
        <w:jc w:val="both"/>
        <w:rPr>
          <w:rFonts w:ascii="Montserrat" w:eastAsia="Montserrat" w:hAnsi="Montserrat" w:cs="Montserrat"/>
          <w:sz w:val="14"/>
          <w:szCs w:val="14"/>
        </w:rPr>
      </w:pPr>
    </w:p>
    <w:p w14:paraId="3541B94E" w14:textId="77777777" w:rsidR="002F4658" w:rsidRDefault="00000000">
      <w:pPr>
        <w:spacing w:line="240" w:lineRule="auto"/>
        <w:ind w:right="-360"/>
        <w:jc w:val="both"/>
        <w:rPr>
          <w:rFonts w:ascii="Montserrat" w:eastAsia="Montserrat" w:hAnsi="Montserrat" w:cs="Montserrat"/>
        </w:rPr>
      </w:pPr>
      <w:r>
        <w:rPr>
          <w:rFonts w:ascii="Montserrat" w:eastAsia="Montserrat" w:hAnsi="Montserrat" w:cs="Montserrat"/>
          <w:b/>
          <w:bCs/>
        </w:rPr>
        <w:t>Takeaways</w:t>
      </w:r>
      <w:r>
        <w:rPr>
          <w:rFonts w:ascii="Montserrat" w:eastAsia="Montserrat" w:hAnsi="Montserrat" w:cs="Montserrat"/>
        </w:rPr>
        <w:t xml:space="preserve">: </w:t>
      </w:r>
    </w:p>
    <w:p w14:paraId="3541B94F" w14:textId="77777777" w:rsidR="002F4658" w:rsidRDefault="00000000">
      <w:pPr>
        <w:numPr>
          <w:ilvl w:val="0"/>
          <w:numId w:val="3"/>
        </w:numPr>
        <w:spacing w:after="0" w:line="240" w:lineRule="auto"/>
        <w:ind w:right="-360"/>
        <w:jc w:val="both"/>
        <w:rPr>
          <w:rFonts w:ascii="Montserrat" w:eastAsia="Montserrat" w:hAnsi="Montserrat" w:cs="Montserrat"/>
        </w:rPr>
      </w:pPr>
      <w:r>
        <w:rPr>
          <w:rFonts w:ascii="Montserrat" w:eastAsia="Montserrat" w:hAnsi="Montserrat" w:cs="Montserrat"/>
        </w:rPr>
        <w:t xml:space="preserve">Color-evasive language can unintentionally dismiss or obscure </w:t>
      </w:r>
      <w:proofErr w:type="gramStart"/>
      <w:r>
        <w:rPr>
          <w:rFonts w:ascii="Montserrat" w:eastAsia="Montserrat" w:hAnsi="Montserrat" w:cs="Montserrat"/>
        </w:rPr>
        <w:t>mentees'</w:t>
      </w:r>
      <w:proofErr w:type="gramEnd"/>
      <w:r>
        <w:rPr>
          <w:rFonts w:ascii="Montserrat" w:eastAsia="Montserrat" w:hAnsi="Montserrat" w:cs="Montserrat"/>
        </w:rPr>
        <w:t xml:space="preserve"> lived experiences.</w:t>
      </w:r>
    </w:p>
    <w:p w14:paraId="3541B950" w14:textId="77777777" w:rsidR="002F4658" w:rsidRDefault="00000000">
      <w:pPr>
        <w:numPr>
          <w:ilvl w:val="0"/>
          <w:numId w:val="3"/>
        </w:numPr>
        <w:spacing w:after="0" w:line="240" w:lineRule="auto"/>
        <w:ind w:right="-360"/>
        <w:jc w:val="both"/>
        <w:rPr>
          <w:rFonts w:ascii="Montserrat" w:eastAsia="Montserrat" w:hAnsi="Montserrat" w:cs="Montserrat"/>
        </w:rPr>
      </w:pPr>
      <w:r>
        <w:rPr>
          <w:rFonts w:ascii="Montserrat" w:eastAsia="Montserrat" w:hAnsi="Montserrat" w:cs="Montserrat"/>
        </w:rPr>
        <w:t>Avoiding conversations about race can reinforce inequities rather than prevent harm</w:t>
      </w:r>
    </w:p>
    <w:p w14:paraId="3541B988" w14:textId="51D37196" w:rsidR="002F4658" w:rsidRPr="002C345A" w:rsidRDefault="00000000" w:rsidP="002C345A">
      <w:pPr>
        <w:numPr>
          <w:ilvl w:val="0"/>
          <w:numId w:val="3"/>
        </w:numPr>
        <w:spacing w:after="0" w:line="240" w:lineRule="auto"/>
        <w:ind w:right="-360"/>
        <w:jc w:val="both"/>
        <w:rPr>
          <w:rFonts w:ascii="Montserrat" w:eastAsia="Montserrat" w:hAnsi="Montserrat" w:cs="Montserrat"/>
        </w:rPr>
      </w:pPr>
      <w:r>
        <w:rPr>
          <w:rFonts w:ascii="Montserrat" w:eastAsia="Montserrat" w:hAnsi="Montserrat" w:cs="Montserrat"/>
        </w:rPr>
        <w:t>Becoming more race-conscious requires reflection, discomfort, and intentional practice.</w:t>
      </w:r>
      <w:r>
        <w:br w:type="page"/>
      </w:r>
    </w:p>
    <w:sectPr w:rsidR="002F4658" w:rsidRPr="002C345A">
      <w:pgSz w:w="12240" w:h="15840"/>
      <w:pgMar w:top="1440" w:right="108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6C460D-6D04-4AAC-9C83-37B3FBE63789}"/>
    <w:embedBold r:id="rId2" w:fontKey="{42375289-9E18-4CBC-BC76-2041B436D0CB}"/>
    <w:embedItalic r:id="rId3" w:fontKey="{5EF85CCA-AFA6-469E-8B63-67B80A53B7B5}"/>
    <w:embedBoldItalic r:id="rId4" w:fontKey="{A9730036-CFF2-4BF9-8798-820D10442C1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5" w:fontKey="{28C8A64A-37CA-4F75-904A-E8F07AD0781C}"/>
    <w:embedBold r:id="rId6" w:fontKey="{3C4B305A-6752-4C3A-9E4D-057BCDB325E0}"/>
  </w:font>
  <w:font w:name="Cambria">
    <w:panose1 w:val="02040503050406030204"/>
    <w:charset w:val="00"/>
    <w:family w:val="roman"/>
    <w:pitch w:val="variable"/>
    <w:sig w:usb0="E00006FF" w:usb1="420024FF" w:usb2="02000000" w:usb3="00000000" w:csb0="0000019F" w:csb1="00000000"/>
    <w:embedRegular r:id="rId7" w:fontKey="{DCE5FBE8-630F-4F14-B2F6-35F1CCA325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F91"/>
    <w:multiLevelType w:val="multilevel"/>
    <w:tmpl w:val="F1F8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24B52"/>
    <w:multiLevelType w:val="multilevel"/>
    <w:tmpl w:val="7DEA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F7C10"/>
    <w:multiLevelType w:val="multilevel"/>
    <w:tmpl w:val="7908B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A6EA4"/>
    <w:multiLevelType w:val="multilevel"/>
    <w:tmpl w:val="BD945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062452"/>
    <w:multiLevelType w:val="multilevel"/>
    <w:tmpl w:val="170A4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B20AB"/>
    <w:multiLevelType w:val="multilevel"/>
    <w:tmpl w:val="F1E47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921430"/>
    <w:multiLevelType w:val="multilevel"/>
    <w:tmpl w:val="4B626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D0F3B"/>
    <w:multiLevelType w:val="multilevel"/>
    <w:tmpl w:val="E374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427052"/>
    <w:multiLevelType w:val="multilevel"/>
    <w:tmpl w:val="B4B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0944F1"/>
    <w:multiLevelType w:val="multilevel"/>
    <w:tmpl w:val="0316C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286EBD"/>
    <w:multiLevelType w:val="multilevel"/>
    <w:tmpl w:val="4BCE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458214">
    <w:abstractNumId w:val="5"/>
  </w:num>
  <w:num w:numId="2" w16cid:durableId="1068461635">
    <w:abstractNumId w:val="4"/>
  </w:num>
  <w:num w:numId="3" w16cid:durableId="1716470076">
    <w:abstractNumId w:val="1"/>
  </w:num>
  <w:num w:numId="4" w16cid:durableId="1366177342">
    <w:abstractNumId w:val="7"/>
  </w:num>
  <w:num w:numId="5" w16cid:durableId="832646989">
    <w:abstractNumId w:val="3"/>
  </w:num>
  <w:num w:numId="6" w16cid:durableId="122357711">
    <w:abstractNumId w:val="10"/>
  </w:num>
  <w:num w:numId="7" w16cid:durableId="1444112940">
    <w:abstractNumId w:val="8"/>
  </w:num>
  <w:num w:numId="8" w16cid:durableId="1984457830">
    <w:abstractNumId w:val="0"/>
  </w:num>
  <w:num w:numId="9" w16cid:durableId="1371950693">
    <w:abstractNumId w:val="2"/>
  </w:num>
  <w:num w:numId="10" w16cid:durableId="801774788">
    <w:abstractNumId w:val="9"/>
  </w:num>
  <w:num w:numId="11" w16cid:durableId="9329809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658"/>
    <w:rsid w:val="00077BC5"/>
    <w:rsid w:val="000E7378"/>
    <w:rsid w:val="001316A7"/>
    <w:rsid w:val="002C345A"/>
    <w:rsid w:val="002F0A37"/>
    <w:rsid w:val="002F4658"/>
    <w:rsid w:val="0037102C"/>
    <w:rsid w:val="003D72CD"/>
    <w:rsid w:val="003F29A9"/>
    <w:rsid w:val="00424B28"/>
    <w:rsid w:val="004E0971"/>
    <w:rsid w:val="00585C0A"/>
    <w:rsid w:val="007720D5"/>
    <w:rsid w:val="00AD5F13"/>
    <w:rsid w:val="00CE2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B8D0"/>
  <w15:docId w15:val="{800B7597-50ED-4DDD-BCFA-F5453AFB6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rFonts w:ascii="Arial" w:eastAsia="Arial" w:hAnsi="Arial" w:cs="Arial"/>
      <w:b/>
      <w:bCs/>
      <w:sz w:val="36"/>
      <w:szCs w:val="36"/>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6D4aZoqDqOQ"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ed.com/talks/mellody_hobson_color_blind_or_color_brav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rOsYdadhhawqipIa3GxPv8nNA==">CgMxLjAyDmgubnkzcWplNGl5Mm90Mg5oLjRucXNuam9qdTN6YzINaC5zZW85bGhlNGh2eTIOaC50a2s0YTY1dTI3YnUyDmguaDMyaGcwYm8zbzJyMg5oLmF0YW92cm1lbnU2cjIOaC53c2IzdGsyZThsZW0yDmgubzVqYzFhYTcyZzZnMg5oLng0cXIyNWNjaWIxMTgAciExWWZVRjI5S3QyRW1oZWtId3hfQ3UwRzVRUFlsUEtZRTE=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Marcia Puig-Lluch</dc:creator>
  <cp:lastModifiedBy>Marcia Puig-Lluch</cp:lastModifiedBy>
  <cp:revision>3</cp:revision>
  <dcterms:created xsi:type="dcterms:W3CDTF">2026-10-30T16:35:00Z</dcterms:created>
  <dcterms:modified xsi:type="dcterms:W3CDTF">2026-10-30T16:35:00Z</dcterms:modified>
</cp:coreProperties>
</file>