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6B33" w14:textId="77777777" w:rsidR="00E159CB" w:rsidRDefault="00A52907">
      <w:pPr>
        <w:spacing w:before="280" w:after="280" w:line="240" w:lineRule="auto"/>
        <w:ind w:right="-360"/>
        <w:jc w:val="both"/>
        <w:rPr>
          <w:rFonts w:ascii="Montserrat" w:eastAsia="Montserrat" w:hAnsi="Montserrat" w:cs="Montserrat"/>
        </w:rPr>
      </w:pPr>
      <w:r>
        <w:rPr>
          <w:rFonts w:ascii="Montserrat" w:eastAsia="Montserrat" w:hAnsi="Montserrat" w:cs="Montserrat"/>
        </w:rPr>
        <w:t xml:space="preserve">This week’s lesson focuses on shifting from a deficit-based to an asset-based mindset in mentoring, particularly when supporting students of color. Through the discussion of two key papers, we’ll explore how mentors can reframe their perspectives to better recognize and nurture the strengths students bring to academic spaces. One activity involves reading a paper that compares mentoring to plant care, encouraging participants to extend the analogy by using their own knowledge of plant biology as a metaphor </w:t>
      </w:r>
      <w:r>
        <w:rPr>
          <w:rFonts w:ascii="Montserrat" w:eastAsia="Montserrat" w:hAnsi="Montserrat" w:cs="Montserrat"/>
        </w:rPr>
        <w:t>for how they might approach student well-being. We’ll also engage in a conversation about the specific assets students of color bring to our workplaces and practice naming and affirming those assets. These activities will lay the foundation for establishing more equitable and supportive mentoring relationships.</w:t>
      </w:r>
    </w:p>
    <w:p w14:paraId="1BF46B34" w14:textId="77777777" w:rsidR="00E159CB" w:rsidRDefault="00A52907">
      <w:pPr>
        <w:spacing w:line="240" w:lineRule="auto"/>
        <w:ind w:right="-360"/>
        <w:jc w:val="both"/>
        <w:rPr>
          <w:rFonts w:ascii="Montserrat" w:eastAsia="Montserrat" w:hAnsi="Montserrat" w:cs="Montserrat"/>
          <w:b/>
          <w:bCs/>
          <w:u w:val="single"/>
        </w:rPr>
      </w:pPr>
      <w:r>
        <w:rPr>
          <w:rFonts w:ascii="Montserrat" w:eastAsia="Montserrat" w:hAnsi="Montserrat" w:cs="Montserrat"/>
          <w:b/>
          <w:bCs/>
          <w:u w:val="single"/>
        </w:rPr>
        <w:t>Prework</w:t>
      </w:r>
    </w:p>
    <w:p w14:paraId="1BF46B35" w14:textId="77777777" w:rsidR="00E159CB" w:rsidRDefault="00A52907">
      <w:pPr>
        <w:spacing w:line="240" w:lineRule="auto"/>
        <w:ind w:right="-360"/>
        <w:jc w:val="both"/>
        <w:rPr>
          <w:rFonts w:ascii="Montserrat" w:eastAsia="Montserrat" w:hAnsi="Montserrat" w:cs="Montserrat"/>
        </w:rPr>
      </w:pPr>
      <w:r>
        <w:rPr>
          <w:rFonts w:ascii="Montserrat" w:eastAsia="Montserrat" w:hAnsi="Montserrat" w:cs="Montserrat"/>
          <w:b/>
          <w:bCs/>
        </w:rPr>
        <w:t>Objective</w:t>
      </w:r>
      <w:r>
        <w:rPr>
          <w:rFonts w:ascii="Montserrat" w:eastAsia="Montserrat" w:hAnsi="Montserrat" w:cs="Montserrat"/>
        </w:rPr>
        <w:t xml:space="preserve">: Students will read two selected papers to build a foundational understanding of how mentoring approaches can shift from deficit-based to asset-based mindsets. This preparation will enable them to actively engage in discussions about recognizing and valuing the strengths students of color bring to academic spaces. </w:t>
      </w:r>
    </w:p>
    <w:p w14:paraId="1BF46B36" w14:textId="77777777" w:rsidR="00E159CB" w:rsidRDefault="00E159CB">
      <w:pPr>
        <w:spacing w:line="240" w:lineRule="auto"/>
        <w:ind w:right="-360"/>
        <w:jc w:val="both"/>
        <w:rPr>
          <w:rFonts w:ascii="Montserrat" w:eastAsia="Montserrat" w:hAnsi="Montserrat" w:cs="Montserrat"/>
        </w:rPr>
      </w:pPr>
    </w:p>
    <w:p w14:paraId="1BF46B37" w14:textId="77777777" w:rsidR="00E159CB" w:rsidRDefault="00A52907">
      <w:pPr>
        <w:numPr>
          <w:ilvl w:val="0"/>
          <w:numId w:val="2"/>
        </w:numPr>
        <w:spacing w:line="240" w:lineRule="auto"/>
        <w:ind w:right="-360"/>
        <w:jc w:val="both"/>
        <w:rPr>
          <w:rFonts w:ascii="Montserrat" w:eastAsia="Montserrat" w:hAnsi="Montserrat" w:cs="Montserrat"/>
          <w:b/>
          <w:bCs/>
        </w:rPr>
      </w:pPr>
      <w:r>
        <w:rPr>
          <w:rFonts w:ascii="Montserrat" w:eastAsia="Montserrat" w:hAnsi="Montserrat" w:cs="Montserrat"/>
          <w:b/>
          <w:bCs/>
        </w:rPr>
        <w:t>Activities:</w:t>
      </w:r>
    </w:p>
    <w:p w14:paraId="1BF46B38" w14:textId="38912252" w:rsidR="00E159CB" w:rsidRDefault="00A52907">
      <w:pPr>
        <w:numPr>
          <w:ilvl w:val="1"/>
          <w:numId w:val="3"/>
        </w:numPr>
        <w:spacing w:line="240" w:lineRule="auto"/>
        <w:ind w:right="-360"/>
        <w:jc w:val="both"/>
        <w:rPr>
          <w:rFonts w:ascii="Courier New" w:eastAsia="Courier New" w:hAnsi="Courier New" w:cs="Courier New"/>
        </w:rPr>
      </w:pPr>
      <w:r>
        <w:rPr>
          <w:rFonts w:ascii="Montserrat" w:eastAsia="Montserrat" w:hAnsi="Montserrat" w:cs="Montserrat"/>
          <w:b/>
          <w:bCs/>
        </w:rPr>
        <w:t>Article 1</w:t>
      </w:r>
      <w:r>
        <w:rPr>
          <w:rFonts w:ascii="Montserrat" w:eastAsia="Montserrat" w:hAnsi="Montserrat" w:cs="Montserrat"/>
        </w:rPr>
        <w:t xml:space="preserve">: </w:t>
      </w:r>
      <w:r>
        <w:rPr>
          <w:rFonts w:ascii="Montserrat" w:eastAsia="Montserrat" w:hAnsi="Montserrat" w:cs="Montserrat"/>
          <w:color w:val="0000FF"/>
          <w:u w:val="single"/>
        </w:rPr>
        <w:t>From Deficits to Possibilities</w:t>
      </w:r>
      <w:r>
        <w:rPr>
          <w:rFonts w:ascii="Montserrat" w:eastAsia="Montserrat" w:hAnsi="Montserrat" w:cs="Montserrat"/>
        </w:rPr>
        <w:t>, Beronda L. Montgomery</w:t>
      </w:r>
    </w:p>
    <w:p w14:paraId="1BF46B39" w14:textId="18C6465C" w:rsidR="00E159CB" w:rsidRDefault="00A52907">
      <w:pPr>
        <w:numPr>
          <w:ilvl w:val="1"/>
          <w:numId w:val="3"/>
        </w:numPr>
        <w:spacing w:line="240" w:lineRule="auto"/>
        <w:ind w:right="-360"/>
        <w:jc w:val="both"/>
        <w:rPr>
          <w:rFonts w:ascii="Courier New" w:eastAsia="Courier New" w:hAnsi="Courier New" w:cs="Courier New"/>
        </w:rPr>
      </w:pPr>
      <w:r>
        <w:rPr>
          <w:rFonts w:ascii="Montserrat" w:eastAsia="Montserrat" w:hAnsi="Montserrat" w:cs="Montserrat"/>
          <w:b/>
          <w:bCs/>
        </w:rPr>
        <w:t>Article 2</w:t>
      </w:r>
      <w:r>
        <w:rPr>
          <w:rFonts w:ascii="Montserrat" w:eastAsia="Montserrat" w:hAnsi="Montserrat" w:cs="Montserrat"/>
        </w:rPr>
        <w:t xml:space="preserve">: </w:t>
      </w:r>
      <w:r>
        <w:rPr>
          <w:rFonts w:ascii="Montserrat" w:eastAsia="Montserrat" w:hAnsi="Montserrat" w:cs="Montserrat"/>
          <w:color w:val="0000FF"/>
          <w:u w:val="single"/>
        </w:rPr>
        <w:t>Whose Culture has Capital?</w:t>
      </w:r>
      <w:r>
        <w:rPr>
          <w:rFonts w:ascii="Montserrat" w:eastAsia="Montserrat" w:hAnsi="Montserrat" w:cs="Montserrat"/>
        </w:rPr>
        <w:t xml:space="preserve"> Tara J. Yosso </w:t>
      </w:r>
    </w:p>
    <w:p w14:paraId="1BF46B3A" w14:textId="77777777" w:rsidR="00E159CB" w:rsidRDefault="00A52907">
      <w:pPr>
        <w:numPr>
          <w:ilvl w:val="1"/>
          <w:numId w:val="3"/>
        </w:numPr>
        <w:spacing w:line="240" w:lineRule="auto"/>
        <w:ind w:right="-360"/>
        <w:jc w:val="both"/>
        <w:rPr>
          <w:rFonts w:ascii="Courier New" w:eastAsia="Courier New" w:hAnsi="Courier New" w:cs="Courier New"/>
        </w:rPr>
      </w:pPr>
      <w:r>
        <w:rPr>
          <w:rFonts w:ascii="Montserrat" w:eastAsia="Montserrat" w:hAnsi="Montserrat" w:cs="Montserrat"/>
        </w:rPr>
        <w:t>Starting at P. 77, 1. Aspirational Capital and ending on P.81 before the Discussion section</w:t>
      </w:r>
    </w:p>
    <w:p w14:paraId="1BF46B3B" w14:textId="77777777" w:rsidR="00E159CB" w:rsidRDefault="00A52907">
      <w:pPr>
        <w:numPr>
          <w:ilvl w:val="0"/>
          <w:numId w:val="3"/>
        </w:numPr>
        <w:spacing w:line="240" w:lineRule="auto"/>
        <w:ind w:right="-360"/>
        <w:jc w:val="both"/>
        <w:rPr>
          <w:rFonts w:ascii="Noto Sans Symbols" w:eastAsia="Noto Sans Symbols" w:hAnsi="Noto Sans Symbols" w:cs="Noto Sans Symbols"/>
        </w:rPr>
      </w:pPr>
      <w:r>
        <w:rPr>
          <w:rFonts w:ascii="Montserrat" w:eastAsia="Montserrat" w:hAnsi="Montserrat" w:cs="Montserrat"/>
          <w:b/>
          <w:bCs/>
        </w:rPr>
        <w:t>Reflection</w:t>
      </w:r>
      <w:r>
        <w:rPr>
          <w:rFonts w:ascii="Montserrat" w:eastAsia="Montserrat" w:hAnsi="Montserrat" w:cs="Montserrat"/>
        </w:rPr>
        <w:t>: How does the analogy of the relationship between humans and plants shift or deepen your understanding of what it means to support students? What strengths or assets can be observed in students of color that may be overlooked when viewed through a deficit lens?</w:t>
      </w:r>
    </w:p>
    <w:p w14:paraId="1BF46B3C" w14:textId="77777777" w:rsidR="00E159CB" w:rsidRDefault="00A52907">
      <w:pPr>
        <w:numPr>
          <w:ilvl w:val="0"/>
          <w:numId w:val="3"/>
        </w:numPr>
        <w:spacing w:line="240" w:lineRule="auto"/>
        <w:ind w:right="-360"/>
        <w:jc w:val="both"/>
        <w:rPr>
          <w:rFonts w:ascii="Noto Sans Symbols" w:eastAsia="Noto Sans Symbols" w:hAnsi="Noto Sans Symbols" w:cs="Noto Sans Symbols"/>
        </w:rPr>
      </w:pPr>
      <w:r>
        <w:rPr>
          <w:rFonts w:ascii="Montserrat" w:eastAsia="Montserrat" w:hAnsi="Montserrat" w:cs="Montserrat"/>
          <w:b/>
          <w:bCs/>
          <w:u w:val="single"/>
        </w:rPr>
        <w:t>Submission</w:t>
      </w:r>
      <w:r>
        <w:rPr>
          <w:rFonts w:ascii="Montserrat" w:eastAsia="Montserrat" w:hAnsi="Montserrat" w:cs="Montserrat"/>
        </w:rPr>
        <w:t>: Be ready to share your reflections during the live session.</w:t>
      </w:r>
    </w:p>
    <w:p w14:paraId="1BF46B3D" w14:textId="77777777" w:rsidR="00E159CB" w:rsidRDefault="00E159CB">
      <w:pPr>
        <w:spacing w:line="240" w:lineRule="auto"/>
        <w:ind w:right="-360"/>
        <w:jc w:val="both"/>
        <w:rPr>
          <w:rFonts w:ascii="Montserrat" w:eastAsia="Montserrat" w:hAnsi="Montserrat" w:cs="Montserrat"/>
          <w:b/>
          <w:bCs/>
          <w:u w:val="single"/>
        </w:rPr>
      </w:pPr>
    </w:p>
    <w:p w14:paraId="1BF46B3E" w14:textId="77777777" w:rsidR="00E159CB" w:rsidRDefault="00A52907">
      <w:pPr>
        <w:spacing w:line="240" w:lineRule="auto"/>
        <w:ind w:right="-360"/>
        <w:jc w:val="both"/>
        <w:rPr>
          <w:rFonts w:ascii="Montserrat" w:eastAsia="Montserrat" w:hAnsi="Montserrat" w:cs="Montserrat"/>
          <w:b/>
          <w:bCs/>
          <w:u w:val="single"/>
        </w:rPr>
      </w:pPr>
      <w:r>
        <w:rPr>
          <w:rFonts w:ascii="Montserrat" w:eastAsia="Montserrat" w:hAnsi="Montserrat" w:cs="Montserrat"/>
          <w:b/>
          <w:bCs/>
          <w:u w:val="single"/>
        </w:rPr>
        <w:t>Agenda</w:t>
      </w:r>
    </w:p>
    <w:p w14:paraId="1BF46B3F"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0 - 5 min – Welcome, ice breaker in chat</w:t>
      </w:r>
    </w:p>
    <w:p w14:paraId="1BF46B40"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5 - 15 min – Breakout discussions on plant analogy for mentoring</w:t>
      </w:r>
    </w:p>
    <w:p w14:paraId="1BF46B41"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15 - 25 min – Full group discussion on plant analogy for mentoring</w:t>
      </w:r>
    </w:p>
    <w:p w14:paraId="1BF46B42"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25 - 30 min – BREAK</w:t>
      </w:r>
    </w:p>
    <w:p w14:paraId="1BF46B43"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30 - 55 min – Full group discussion: Community Cultural Wealth &amp; Student Assets</w:t>
      </w:r>
    </w:p>
    <w:p w14:paraId="1BF46B44"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55 - 60 min – BREAK</w:t>
      </w:r>
    </w:p>
    <w:p w14:paraId="1BF46B45"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60 - 75 min – Breakout discussions: Apply plant care lessons to community cultural wealth framework</w:t>
      </w:r>
    </w:p>
    <w:p w14:paraId="1BF46B46"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75 - 87 min – Full group share out of plant care / CCW connections</w:t>
      </w:r>
    </w:p>
    <w:p w14:paraId="1BF46B47" w14:textId="77777777" w:rsidR="00E159CB" w:rsidRDefault="00A52907">
      <w:pPr>
        <w:numPr>
          <w:ilvl w:val="0"/>
          <w:numId w:val="1"/>
        </w:numPr>
        <w:spacing w:line="240" w:lineRule="auto"/>
        <w:ind w:right="-360"/>
        <w:jc w:val="both"/>
        <w:rPr>
          <w:rFonts w:ascii="Montserrat" w:eastAsia="Montserrat" w:hAnsi="Montserrat" w:cs="Montserrat"/>
        </w:rPr>
      </w:pPr>
      <w:r>
        <w:rPr>
          <w:rFonts w:ascii="Montserrat" w:eastAsia="Montserrat" w:hAnsi="Montserrat" w:cs="Montserrat"/>
        </w:rPr>
        <w:t>87 - 90 min – Wrap up</w:t>
      </w:r>
    </w:p>
    <w:p w14:paraId="1BF46B48" w14:textId="77777777" w:rsidR="00E159CB" w:rsidRDefault="00E159CB">
      <w:pPr>
        <w:spacing w:line="240" w:lineRule="auto"/>
        <w:ind w:right="-360"/>
        <w:rPr>
          <w:rFonts w:ascii="Montserrat" w:eastAsia="Montserrat" w:hAnsi="Montserrat" w:cs="Montserrat"/>
          <w:b/>
          <w:bCs/>
        </w:rPr>
      </w:pPr>
    </w:p>
    <w:p w14:paraId="1BF46B49" w14:textId="77777777" w:rsidR="00E159CB" w:rsidRDefault="00E159CB">
      <w:pPr>
        <w:rPr>
          <w:rFonts w:ascii="Montserrat" w:eastAsia="Montserrat" w:hAnsi="Montserrat" w:cs="Montserrat"/>
        </w:rPr>
      </w:pPr>
    </w:p>
    <w:sectPr w:rsidR="00E159CB">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9BD5" w14:textId="77777777" w:rsidR="00A52907" w:rsidRDefault="00A52907">
      <w:pPr>
        <w:spacing w:line="240" w:lineRule="auto"/>
      </w:pPr>
      <w:r>
        <w:separator/>
      </w:r>
    </w:p>
  </w:endnote>
  <w:endnote w:type="continuationSeparator" w:id="0">
    <w:p w14:paraId="4E06410E" w14:textId="77777777" w:rsidR="00A52907" w:rsidRDefault="00A529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01935CAD-6CCE-4849-8F85-02A38E3B3590}"/>
    <w:embedBold r:id="rId2" w:fontKey="{05E40D86-D2F5-47EB-BCC5-90D9930BF5E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03AFEA7D-71E9-414D-949F-567E78735B53}"/>
  </w:font>
  <w:font w:name="Calibri">
    <w:panose1 w:val="020F0502020204030204"/>
    <w:charset w:val="00"/>
    <w:family w:val="swiss"/>
    <w:pitch w:val="variable"/>
    <w:sig w:usb0="E4002EFF" w:usb1="C200247B" w:usb2="00000009" w:usb3="00000000" w:csb0="000001FF" w:csb1="00000000"/>
    <w:embedRegular r:id="rId4" w:fontKey="{C459062A-D4D2-45BF-BF48-19996D69CEB0}"/>
  </w:font>
  <w:font w:name="Cambria">
    <w:panose1 w:val="02040503050406030204"/>
    <w:charset w:val="00"/>
    <w:family w:val="roman"/>
    <w:pitch w:val="variable"/>
    <w:sig w:usb0="E00006FF" w:usb1="420024FF" w:usb2="02000000" w:usb3="00000000" w:csb0="0000019F" w:csb1="00000000"/>
    <w:embedRegular r:id="rId5" w:fontKey="{0A15473E-DCBC-468B-A220-0E913FD8E3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3F873" w14:textId="77777777" w:rsidR="00A52907" w:rsidRDefault="00A52907">
      <w:pPr>
        <w:spacing w:line="240" w:lineRule="auto"/>
      </w:pPr>
      <w:r>
        <w:separator/>
      </w:r>
    </w:p>
  </w:footnote>
  <w:footnote w:type="continuationSeparator" w:id="0">
    <w:p w14:paraId="2D6F3A87" w14:textId="77777777" w:rsidR="00A52907" w:rsidRDefault="00A529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6B4A" w14:textId="77777777" w:rsidR="00E159CB" w:rsidRDefault="00A52907">
    <w:pPr>
      <w:spacing w:line="240" w:lineRule="auto"/>
      <w:rPr>
        <w:rFonts w:ascii="Montserrat" w:eastAsia="Montserrat" w:hAnsi="Montserrat" w:cs="Montserrat"/>
        <w:b/>
        <w:bCs/>
        <w:sz w:val="24"/>
        <w:szCs w:val="24"/>
      </w:rPr>
    </w:pPr>
    <w:r>
      <w:rPr>
        <w:rFonts w:ascii="Montserrat" w:eastAsia="Montserrat" w:hAnsi="Montserrat" w:cs="Montserrat"/>
        <w:b/>
        <w:bCs/>
        <w:sz w:val="24"/>
        <w:szCs w:val="24"/>
      </w:rPr>
      <w:t>Session 6: From Deficit to Asset-Based Mentoring</w:t>
    </w:r>
  </w:p>
  <w:p w14:paraId="1BF46B4B" w14:textId="77777777" w:rsidR="00E159CB" w:rsidRDefault="00A52907">
    <w:pPr>
      <w:spacing w:line="240" w:lineRule="auto"/>
      <w:rPr>
        <w:rFonts w:ascii="Montserrat" w:eastAsia="Montserrat" w:hAnsi="Montserrat" w:cs="Montserrat"/>
      </w:rPr>
    </w:pPr>
    <w:r>
      <w:rPr>
        <w:rFonts w:ascii="Montserrat" w:eastAsia="Montserrat" w:hAnsi="Montserrat" w:cs="Montserrat"/>
        <w:sz w:val="24"/>
        <w:szCs w:val="24"/>
      </w:rPr>
      <w:t>Prework and Session Agenda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3383"/>
    <w:multiLevelType w:val="multilevel"/>
    <w:tmpl w:val="F0464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343FDA"/>
    <w:multiLevelType w:val="multilevel"/>
    <w:tmpl w:val="84A42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802B3E"/>
    <w:multiLevelType w:val="multilevel"/>
    <w:tmpl w:val="3B9EAC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391318438">
    <w:abstractNumId w:val="0"/>
  </w:num>
  <w:num w:numId="2" w16cid:durableId="1526363614">
    <w:abstractNumId w:val="1"/>
  </w:num>
  <w:num w:numId="3" w16cid:durableId="2020740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9CB"/>
    <w:rsid w:val="00022747"/>
    <w:rsid w:val="005E0530"/>
    <w:rsid w:val="00A52907"/>
    <w:rsid w:val="00E15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6B33"/>
  <w15:docId w15:val="{72DC92C1-AE90-4FBC-9AF9-CA87D5021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TT668wquXUKkdumNW3s6im/b3g==">CgMxLjA4AHIhMWczeVgteXNyd05ncTAtUjE5Slg1UUxTY25CV1BqUkNz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2026-10-27T21:02:00Z</dcterms:created>
  <dcterms:modified xsi:type="dcterms:W3CDTF">2026-10-27T21:02:00Z</dcterms:modified>
</cp:coreProperties>
</file>