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0"/>
        </w:rPr>
        <w:t>KUMPULAN SOAL &amp; PEMBAHASAN DETAIL</w:t>
        <w:br/>
        <w:t>ERPNEXT DAN AKUNTANSI MANUFAKTUR</w:t>
      </w:r>
    </w:p>
    <w:p>
      <w:pPr>
        <w:spacing w:after="360"/>
      </w:pPr>
      <w:r>
        <w:rPr>
          <w:rFonts w:ascii="Calibri" w:hAnsi="Calibri"/>
          <w:i/>
          <w:color w:val="505050"/>
          <w:sz w:val="22"/>
        </w:rPr>
        <w:t>Bahan Ajar Komprehensif: Konsep Dasar, Master Data, Alur Transaksi, Jurnal Persediaan Perpetual, dan Integrasi AI (NotebookLM)</w:t>
      </w:r>
    </w:p>
    <w:p>
      <w:pPr>
        <w:spacing w:after="280"/>
      </w:pPr>
      <w:r>
        <w:rPr>
          <w:color w:val="B4B4B4"/>
        </w:rPr>
        <w:t>―――――――――――――――――――――――――――――――――――――――――――――――――――――――</w:t>
      </w:r>
    </w:p>
    <w:p>
      <w:pPr>
        <w:spacing w:before="320" w:after="160"/>
      </w:pPr>
      <w:r>
        <w:rPr>
          <w:rFonts w:ascii="Calibri" w:hAnsi="Calibri"/>
          <w:b/>
          <w:color w:val="1F4E79"/>
          <w:sz w:val="26"/>
        </w:rPr>
        <w:t>MODUL 1: KONSEP DASAR &amp; ARSITEKTUR ERPNEXT</w:t>
      </w:r>
    </w:p>
    <w:p>
      <w:pPr>
        <w:spacing w:before="200" w:after="80"/>
      </w:pPr>
      <w:r>
        <w:rPr>
          <w:rFonts w:ascii="Calibri" w:hAnsi="Calibri"/>
          <w:b/>
          <w:color w:val="2E75B6"/>
          <w:sz w:val="22"/>
        </w:rPr>
        <w:t>Soal Nomor 1</w:t>
      </w:r>
    </w:p>
    <w:p>
      <w:pPr>
        <w:spacing w:after="80"/>
      </w:pPr>
      <w:r>
        <w:rPr>
          <w:b/>
        </w:rPr>
        <w:t xml:space="preserve">Pertanyaan: </w:t>
      </w:r>
      <w:r>
        <w:t>Apa yang dimaksud dengan Frappe Framework dan bagaimana hubungannya dengan ERPNext?</w:t>
      </w:r>
    </w:p>
    <w:p>
      <w:pPr>
        <w:spacing w:after="120"/>
      </w:pPr>
      <w:r>
        <w:rPr>
          <w:b/>
          <w:color w:val="268000"/>
        </w:rPr>
        <w:t xml:space="preserve">Jawaban Ringkas: </w:t>
      </w:r>
      <w:r>
        <w:t>Frappe Framework adalah full-stack web application framework berbasis Python (backend) dan JavaScript/Vue.js (frontend) yang menjadi fondasi tempat ERPNext dibangun.</w:t>
      </w:r>
    </w:p>
    <w:p>
      <w:pPr>
        <w:spacing w:before="40" w:after="240"/>
      </w:pPr>
      <w:r>
        <w:rPr>
          <w:b/>
          <w:color w:val="B45000"/>
        </w:rPr>
        <w:t>Pembahasan Detail &amp; Analisis Sistem:</w:t>
        <w:br/>
      </w:r>
      <w:r>
        <w:rPr>
          <w:color w:val="3C3C3C"/>
          <w:sz w:val="20"/>
        </w:rPr>
        <w:t>ERPNext secara teknis adalah sebuah aplikasi ('app') yang berjalan di atas Frappe Framework. Framework ini menyediakan abstraksi arsitektural berupa DocType (pembentuk tabel database dan antarmuka), sistem otentikasi, manajemen hak akses (Role-based Permission), REST API bawaan, scheduler/background jobs (Celery/RQ), serta generator laporan. Tanpa Frappe Framework, ERPNext tidak dapat berdiri sendiri karena seluruh logika manipulasi data ORM (Object-Relational Mapping) dan rendering halaman web dikelola sepenuhnya oleh mesin Frappe.</w:t>
      </w:r>
    </w:p>
    <w:p>
      <w:pPr>
        <w:spacing w:before="200" w:after="80"/>
      </w:pPr>
      <w:r>
        <w:rPr>
          <w:rFonts w:ascii="Calibri" w:hAnsi="Calibri"/>
          <w:b/>
          <w:color w:val="2E75B6"/>
          <w:sz w:val="22"/>
        </w:rPr>
        <w:t>Soal Nomor 2</w:t>
      </w:r>
    </w:p>
    <w:p>
      <w:pPr>
        <w:spacing w:after="80"/>
      </w:pPr>
      <w:r>
        <w:rPr>
          <w:b/>
        </w:rPr>
        <w:t xml:space="preserve">Pertanyaan: </w:t>
      </w:r>
      <w:r>
        <w:t>Jelaskan konsep Perpetual Inventory System (Persediaan Perpetual) yang diterapkan pada ERPNext!</w:t>
      </w:r>
    </w:p>
    <w:p>
      <w:pPr>
        <w:spacing w:after="120"/>
      </w:pPr>
      <w:r>
        <w:rPr>
          <w:b/>
          <w:color w:val="268000"/>
        </w:rPr>
        <w:t xml:space="preserve">Jawaban Ringkas: </w:t>
      </w:r>
      <w:r>
        <w:t>Perpetual Inventory System pada ERPNext adalah mekanisme di mana setiap mutasi fisik barang (penerimaan, pemindahan, pengeluaran, atau produksi) secara otomatis memperbarui saldo stok dan membukukan entri jurnal akuntansi pada detik yang sama.</w:t>
      </w:r>
    </w:p>
    <w:p>
      <w:pPr>
        <w:spacing w:before="40" w:after="240"/>
      </w:pPr>
      <w:r>
        <w:rPr>
          <w:b/>
          <w:color w:val="B45000"/>
        </w:rPr>
        <w:t>Pembahasan Detail &amp; Analisis Sistem:</w:t>
        <w:br/>
      </w:r>
      <w:r>
        <w:rPr>
          <w:color w:val="3C3C3C"/>
          <w:sz w:val="20"/>
        </w:rPr>
        <w:t>Dalam pendekatan tradisional (Periodic Inventory), akun persediaan di neraca hanya diperbarui pada akhir periode melalui Stock Opname fisik. Sebaliknya, ERPNext menerapkan korelasi ketat antara Stock Ledger (buku besar barang) dan General Ledger (buku besar keuangan). Setiap kali dokumen seperti Purchase Receipt, Delivery Note, atau Stock Entry disubmit, sistem melakukan dua hal sekaligus:</w:t>
        <w:br/>
        <w:t>1. Memperbarui stok fisik (kuantitas dan nilai valuation rate berdasarkan FIFO atau Moving Average).</w:t>
        <w:br/>
        <w:t>2. Membukukan jurnal finansial otomatis (Debet pada akun persediaan terkait dan Kredit pada akun perantara/HPP). Hal ini menjamin bahwa nilai laporan posisi keuangan (Neraca) selalu mencerminkan nilai fisik persediaan di gudang secara real-time.</w:t>
      </w:r>
    </w:p>
    <w:p>
      <w:pPr>
        <w:spacing w:before="200" w:after="80"/>
      </w:pPr>
      <w:r>
        <w:rPr>
          <w:rFonts w:ascii="Calibri" w:hAnsi="Calibri"/>
          <w:b/>
          <w:color w:val="2E75B6"/>
          <w:sz w:val="22"/>
        </w:rPr>
        <w:t>Soal Nomor 3</w:t>
      </w:r>
    </w:p>
    <w:p>
      <w:pPr>
        <w:spacing w:after="80"/>
      </w:pPr>
      <w:r>
        <w:rPr>
          <w:b/>
        </w:rPr>
        <w:t xml:space="preserve">Pertanyaan: </w:t>
      </w:r>
      <w:r>
        <w:t>Apa fungsi dari DocType pada ERPNext dan sebutkan 3 contoh DocType utama pada modul Manufaktur!</w:t>
      </w:r>
    </w:p>
    <w:p>
      <w:pPr>
        <w:spacing w:after="120"/>
      </w:pPr>
      <w:r>
        <w:rPr>
          <w:b/>
          <w:color w:val="268000"/>
        </w:rPr>
        <w:t xml:space="preserve">Jawaban Ringkas: </w:t>
      </w:r>
      <w:r>
        <w:t>DocType adalah cetak biru (blueprint) utama di Frappe/ERPNext yang mendefinisikan struktur skema database, aturan validasi bisnis, serta bentuk tampilan antarmuka (form) pengguna.</w:t>
      </w:r>
    </w:p>
    <w:p>
      <w:pPr>
        <w:spacing w:before="40" w:after="240"/>
      </w:pPr>
      <w:r>
        <w:rPr>
          <w:b/>
          <w:color w:val="B45000"/>
        </w:rPr>
        <w:t>Pembahasan Detail &amp; Analisis Sistem:</w:t>
        <w:br/>
      </w:r>
      <w:r>
        <w:rPr>
          <w:color w:val="3C3C3C"/>
          <w:sz w:val="20"/>
        </w:rPr>
        <w:t>Setiap formulir di ERPNext (mulai dari Master Data hingga Transaksi) merupakan representasi dari sebuah DocType. Dalam modul Manufaktur, 3 DocType utama adalah:</w:t>
        <w:br/>
        <w:t>1. Item: Master data barang yang menyimpan spesifikasi fisik, unit pengukuran (UOM), aturan reorder, serta tautan akun default.</w:t>
        <w:br/>
        <w:t>2. Bill of Materials (BOM): Dokumen cetak biru resep produksi yang merincikan komposisi bahan baku, bahan penolong, persentase waste, biaya operasional/tenaga kerja, serta rute kerja (Work Center).</w:t>
        <w:br/>
        <w:t>3. Work Order: Dokumen perintah kerja operasional yang menginstruksikan tim pabrikasi untuk memproduksi barang jadi dalam kuantitas dan tenggat waktu tertentu sesuai BOM.</w:t>
      </w:r>
    </w:p>
    <w:p>
      <w:pPr>
        <w:spacing w:before="200" w:after="80"/>
      </w:pPr>
      <w:r>
        <w:rPr>
          <w:rFonts w:ascii="Calibri" w:hAnsi="Calibri"/>
          <w:b/>
          <w:color w:val="2E75B6"/>
          <w:sz w:val="22"/>
        </w:rPr>
        <w:t>Soal Nomor 4</w:t>
      </w:r>
    </w:p>
    <w:p>
      <w:pPr>
        <w:spacing w:after="80"/>
      </w:pPr>
      <w:r>
        <w:rPr>
          <w:b/>
        </w:rPr>
        <w:t xml:space="preserve">Pertanyaan: </w:t>
      </w:r>
      <w:r>
        <w:t>Bagaimana alur akses dan konfigurasi awal ERPNext di lingkungan localhost?</w:t>
      </w:r>
    </w:p>
    <w:p>
      <w:pPr>
        <w:spacing w:after="120"/>
      </w:pPr>
      <w:r>
        <w:rPr>
          <w:b/>
          <w:color w:val="268000"/>
        </w:rPr>
        <w:t xml:space="preserve">Jawaban Ringkas: </w:t>
      </w:r>
      <w:r>
        <w:t>Akses dilakukan melalui peramban web pada port local (misalnya http://localhost:8000), dilanjutkan dengan pengisian Setup Wizard awal untuk menetapkan parameter organisasi.</w:t>
      </w:r>
    </w:p>
    <w:p>
      <w:pPr>
        <w:spacing w:before="40" w:after="240"/>
      </w:pPr>
      <w:r>
        <w:rPr>
          <w:b/>
          <w:color w:val="B45000"/>
        </w:rPr>
        <w:t>Pembahasan Detail &amp; Analisis Sistem:</w:t>
        <w:br/>
      </w:r>
      <w:r>
        <w:rPr>
          <w:color w:val="3C3C3C"/>
          <w:sz w:val="20"/>
        </w:rPr>
        <w:t>Langkah-langkah konfigurasi awal meliputi:</w:t>
        <w:br/>
        <w:t>1. Membuka alamat portal localhost di browser web.</w:t>
        <w:br/>
        <w:t>2. Login menggunakan kredensial Administrator yang dibuat saat instalasi bench.</w:t>
        <w:br/>
        <w:t>3. Melengkapi Setup Wizard: Memilih Bahasa Utama (Indonesian), Negara (Indonesia), Mata Uang Dasar (IDR), dan Zona Waktu (Asia/Jakarta).</w:t>
        <w:br/>
        <w:t>4. Mengisi profil perusahaan (Company Name) dan domain bisnis (Manufacturing).</w:t>
        <w:br/>
        <w:t>5. Memilih Chart of Accounts (CoA) standar atau mengunggah kustomisasi CoA agar struktur akun keuangan pabrik langsung terbentuk secara otomatis.</w:t>
      </w:r>
    </w:p>
    <w:p>
      <w:pPr>
        <w:spacing w:before="200" w:after="80"/>
      </w:pPr>
      <w:r>
        <w:rPr>
          <w:rFonts w:ascii="Calibri" w:hAnsi="Calibri"/>
          <w:b/>
          <w:color w:val="2E75B6"/>
          <w:sz w:val="22"/>
        </w:rPr>
        <w:t>Soal Nomor 5</w:t>
      </w:r>
    </w:p>
    <w:p>
      <w:pPr>
        <w:spacing w:after="80"/>
      </w:pPr>
      <w:r>
        <w:rPr>
          <w:b/>
        </w:rPr>
        <w:t xml:space="preserve">Pertanyaan: </w:t>
      </w:r>
      <w:r>
        <w:t>Apa perbedaan mendasar antara User Role dan Workflow Status pada ERPNext?</w:t>
      </w:r>
    </w:p>
    <w:p>
      <w:pPr>
        <w:spacing w:after="120"/>
      </w:pPr>
      <w:r>
        <w:rPr>
          <w:b/>
          <w:color w:val="268000"/>
        </w:rPr>
        <w:t xml:space="preserve">Jawaban Ringkas: </w:t>
      </w:r>
      <w:r>
        <w:t>User Role mengatur kewenangan dan batas akses pengguna, sedangkan Workflow Status mengontrol tahapan alur hidup dokumen bisnis.</w:t>
      </w:r>
    </w:p>
    <w:p>
      <w:pPr>
        <w:spacing w:before="40" w:after="240"/>
      </w:pPr>
      <w:r>
        <w:rPr>
          <w:b/>
          <w:color w:val="B45000"/>
        </w:rPr>
        <w:t>Pembahasan Detail &amp; Analisis Sistem:</w:t>
        <w:br/>
      </w:r>
      <w:r>
        <w:rPr>
          <w:color w:val="3C3C3C"/>
          <w:sz w:val="20"/>
        </w:rPr>
        <w:t>User Role menetapkan kewenangan hak akses pengguna (misal: 'Stock Manager', 'Manufacturing User', 'Accounts User') untuk membuat (Create), membaca (Read), mengubah (Write), atau menyetujui (Submit/Cancel) sebuah DocType.</w:t>
        <w:br/>
        <w:t>Sementara itu, Workflow Status mendefinisikan posisi dokumen dalam siklus persetujuan organisasi (misal: Draft -&gt; Pending Approval -&gt; Approved -&gt; Submitted -&gt; Cancelled). Kombinasi keduanya memastikan prinsip Segregation of Duties (SoD) berjalan baik: seorang operator pabrik mungkin hanya memiliki role untuk membuat Work Order bertipe 'Draft', namun persetujuan untuk mengubah status menjadi 'Submitted' membutuhkan pimpinan berinisial role 'Manufacturing Manager'.</w:t>
      </w:r>
    </w:p>
    <w:p>
      <w:pPr>
        <w:spacing w:before="320" w:after="160"/>
      </w:pPr>
      <w:r>
        <w:rPr>
          <w:rFonts w:ascii="Calibri" w:hAnsi="Calibri"/>
          <w:b/>
          <w:color w:val="1F4E79"/>
          <w:sz w:val="26"/>
        </w:rPr>
        <w:t>MODUL 2: MASTER DATA &amp; KONFIGURASI SISTEM</w:t>
      </w:r>
    </w:p>
    <w:p>
      <w:pPr>
        <w:spacing w:before="200" w:after="80"/>
      </w:pPr>
      <w:r>
        <w:rPr>
          <w:rFonts w:ascii="Calibri" w:hAnsi="Calibri"/>
          <w:b/>
          <w:color w:val="2E75B6"/>
          <w:sz w:val="22"/>
        </w:rPr>
        <w:t>Soal Nomor 6</w:t>
      </w:r>
    </w:p>
    <w:p>
      <w:pPr>
        <w:spacing w:after="80"/>
      </w:pPr>
      <w:r>
        <w:rPr>
          <w:b/>
        </w:rPr>
        <w:t xml:space="preserve">Pertanyaan: </w:t>
      </w:r>
      <w:r>
        <w:t>Mengapa penentuan Item Group sangat krusial saat membuat Master Item di ERPNext?</w:t>
      </w:r>
    </w:p>
    <w:p>
      <w:pPr>
        <w:spacing w:after="120"/>
      </w:pPr>
      <w:r>
        <w:rPr>
          <w:b/>
          <w:color w:val="268000"/>
        </w:rPr>
        <w:t xml:space="preserve">Jawaban Ringkas: </w:t>
      </w:r>
      <w:r>
        <w:t>Item Group menentukan hirarki pengelompokan barang dan menjadi muara otomatisasi akun akuntansi (Default Inventory Account &amp; Expense Account).</w:t>
      </w:r>
    </w:p>
    <w:p>
      <w:pPr>
        <w:spacing w:before="40" w:after="240"/>
      </w:pPr>
      <w:r>
        <w:rPr>
          <w:b/>
          <w:color w:val="B45000"/>
        </w:rPr>
        <w:t>Pembahasan Detail &amp; Analisis Sistem:</w:t>
        <w:br/>
      </w:r>
      <w:r>
        <w:rPr>
          <w:color w:val="3C3C3C"/>
          <w:sz w:val="20"/>
        </w:rPr>
        <w:t>Di ERPNext, pengaturan akun tidak harus dilakukan secara manual pada setiap item individu. Dengan mengelompokkan item ke dalam Item Group tertentu (seperti 'Raw Material', 'Work In Progress', 'Finished Goods', atau 'Consumables'), kita dapat mengikat akun persediaan bawaan pada level kelompok tersebut. Jika sebuah item baru ditambahkan ke grup 'Raw Material', sistem secara otomatis mengarahkan pencatatan jurnal transaksi barang tersebut ke akun '1131 - Persediaan Bahan Baku'. Hal ini meminimalkan kesalahan manusia dalam pemetaan akun akuntansi.</w:t>
      </w:r>
    </w:p>
    <w:p>
      <w:pPr>
        <w:spacing w:before="200" w:after="80"/>
      </w:pPr>
      <w:r>
        <w:rPr>
          <w:rFonts w:ascii="Calibri" w:hAnsi="Calibri"/>
          <w:b/>
          <w:color w:val="2E75B6"/>
          <w:sz w:val="22"/>
        </w:rPr>
        <w:t>Soal Nomor 7</w:t>
      </w:r>
    </w:p>
    <w:p>
      <w:pPr>
        <w:spacing w:after="80"/>
      </w:pPr>
      <w:r>
        <w:rPr>
          <w:b/>
        </w:rPr>
        <w:t xml:space="preserve">Pertanyaan: </w:t>
      </w:r>
      <w:r>
        <w:t>Apa yang dimaksud dengan Bill of Materials (BOM) di ERPNext dan mengapa BOM diset sebagai Default?</w:t>
      </w:r>
    </w:p>
    <w:p>
      <w:pPr>
        <w:spacing w:after="120"/>
      </w:pPr>
      <w:r>
        <w:rPr>
          <w:b/>
          <w:color w:val="268000"/>
        </w:rPr>
        <w:t xml:space="preserve">Jawaban Ringkas: </w:t>
      </w:r>
      <w:r>
        <w:t>BOM adalah resep master manufaktur yang menghitung seluruh komponen biaya (bahan baku + operasi). Menandai BOM sebagai 'Default' memastikan sistem menggunakannya secara otomatis pada perintah kerja produksi.</w:t>
      </w:r>
    </w:p>
    <w:p>
      <w:pPr>
        <w:spacing w:before="40" w:after="240"/>
      </w:pPr>
      <w:r>
        <w:rPr>
          <w:b/>
          <w:color w:val="B45000"/>
        </w:rPr>
        <w:t>Pembahasan Detail &amp; Analisis Sistem:</w:t>
        <w:br/>
      </w:r>
      <w:r>
        <w:rPr>
          <w:color w:val="3C3C3C"/>
          <w:sz w:val="20"/>
        </w:rPr>
        <w:t>Sebuah produk jadi dapat memiliki beberapa variasi BOM (misal: BOM standar, BOM eksperimental, atau BOM revisi biaya). ERPNext mewajibkan satu BOM utama ditandai sebagai 'Is Default = Yes' agar saat bagian PPIC membuat Work Order atau Sales Order, sistem secara otomatis menarik struktur bahan baku dan perhitungan HPP standar dari BOM default tersebut tanpa perlu pemilihan manual yang berisiko tertukar.</w:t>
      </w:r>
    </w:p>
    <w:p>
      <w:pPr>
        <w:spacing w:before="200" w:after="80"/>
      </w:pPr>
      <w:r>
        <w:rPr>
          <w:rFonts w:ascii="Calibri" w:hAnsi="Calibri"/>
          <w:b/>
          <w:color w:val="2E75B6"/>
          <w:sz w:val="22"/>
        </w:rPr>
        <w:t>Soal Nomor 8</w:t>
      </w:r>
    </w:p>
    <w:p>
      <w:pPr>
        <w:spacing w:after="80"/>
      </w:pPr>
      <w:r>
        <w:rPr>
          <w:b/>
        </w:rPr>
        <w:t xml:space="preserve">Pertanyaan: </w:t>
      </w:r>
      <w:r>
        <w:t>Jelaskan hirarki Warehouse Master (Gudang) di ERPNext dan sebutkan 4 jenis gudang standar untuk pabrikasi manufaktur!</w:t>
      </w:r>
    </w:p>
    <w:p>
      <w:pPr>
        <w:spacing w:after="120"/>
      </w:pPr>
      <w:r>
        <w:rPr>
          <w:b/>
          <w:color w:val="268000"/>
        </w:rPr>
        <w:t xml:space="preserve">Jawaban Ringkas: </w:t>
      </w:r>
      <w:r>
        <w:t>Gudang disusun secara berjenjang (Parent-Child Tree Structure) untuk mencerminkan lokasi fisik persediaan. Empat gudang standar manufaktur meliputi Gudang Bahan Baku (GBB), Gudang WIP, Gudang Barang Jadi (GBJ), dan Gudang Scrap/Transit.</w:t>
      </w:r>
    </w:p>
    <w:p>
      <w:pPr>
        <w:spacing w:before="40" w:after="240"/>
      </w:pPr>
      <w:r>
        <w:rPr>
          <w:b/>
          <w:color w:val="B45000"/>
        </w:rPr>
        <w:t>Pembahasan Detail &amp; Analisis Sistem:</w:t>
        <w:br/>
      </w:r>
      <w:r>
        <w:rPr>
          <w:color w:val="3C3C3C"/>
          <w:sz w:val="20"/>
        </w:rPr>
        <w:t>Struktur hirarki gudang mempermudah pemantauan stok di berbagai area pabrik:</w:t>
        <w:br/>
        <w:t>1. Gudang Bahan Baku (GBB): Tempat penerimaan awal material dari supplier luar.</w:t>
        <w:br/>
        <w:t>2. Gudang Barang Dalam Proses (WIP): Gudang lantai produksi (shop floor) yang menampung bahan saat proses perakitan sedang berlangsung.</w:t>
        <w:br/>
        <w:t>3. Gudang Barang Jadi (GBJ): Tempat penyimpanan produk siap jual setelah lulus uji Quality Inspection (QC).</w:t>
        <w:br/>
        <w:t>4. Gudang Scrap / Transit: Menampung barang reject, sisa potongan material (afval), atau barang dalam perjalanan antar-cabang.</w:t>
      </w:r>
    </w:p>
    <w:p>
      <w:pPr>
        <w:spacing w:before="200" w:after="80"/>
      </w:pPr>
      <w:r>
        <w:rPr>
          <w:rFonts w:ascii="Calibri" w:hAnsi="Calibri"/>
          <w:b/>
          <w:color w:val="2E75B6"/>
          <w:sz w:val="22"/>
        </w:rPr>
        <w:t>Soal Nomor 9</w:t>
      </w:r>
    </w:p>
    <w:p>
      <w:pPr>
        <w:spacing w:after="80"/>
      </w:pPr>
      <w:r>
        <w:rPr>
          <w:b/>
        </w:rPr>
        <w:t xml:space="preserve">Pertanyaan: </w:t>
      </w:r>
      <w:r>
        <w:t>Bagaimana struktur penomoran Chart of Accounts (CoA) ERPNext untuk industri manufaktur yang direkomendasikan?</w:t>
      </w:r>
    </w:p>
    <w:p>
      <w:pPr>
        <w:spacing w:after="120"/>
      </w:pPr>
      <w:r>
        <w:rPr>
          <w:b/>
          <w:color w:val="268000"/>
        </w:rPr>
        <w:t xml:space="preserve">Jawaban Ringkas: </w:t>
      </w:r>
      <w:r>
        <w:t>CoA manufaktur dikelompokkan dalam 5 Root Type utama berangka 4 digit sesuai urutan Laporan Keuangan Neraca dan Laba Rugi.</w:t>
      </w:r>
    </w:p>
    <w:p>
      <w:pPr>
        <w:spacing w:before="40" w:after="240"/>
      </w:pPr>
      <w:r>
        <w:rPr>
          <w:b/>
          <w:color w:val="B45000"/>
        </w:rPr>
        <w:t>Pembahasan Detail &amp; Analisis Sistem:</w:t>
        <w:br/>
      </w:r>
      <w:r>
        <w:rPr>
          <w:color w:val="3C3C3C"/>
          <w:sz w:val="20"/>
        </w:rPr>
        <w:t>Rincian penomoran standar manufaktur:</w:t>
        <w:br/>
        <w:t>- 1000 - 1999 (Asset): Kas/Bank (1000-1099), Piutang (1100-1129), Persediaan (1130-1139: Raw Material, WIP, Finished Goods, Consumables), Aset Tetap Mesin (1200-1299).</w:t>
        <w:br/>
        <w:t>- 2000 - 2999 (Liability): Hutang Usaha (2110), Utang Pajak (2120), Utang Gaji &amp; Upah Operator (2131).</w:t>
        <w:br/>
        <w:t>- 3000 - 3999 (Equity): Modal Disetor (3100), Laba Ditahan (3200), Akun Perantara/Opening Balance (3500).</w:t>
        <w:br/>
        <w:t>- 4000 - 4999 (Income): Penjualan Barang Jadi (4110), Penjualan Scrap/Limbah (4130), Pendapatan Jasa Maklon (4140).</w:t>
        <w:br/>
        <w:t>- 5000 - 5999 (Expense / HPP): Biaya Bahan Baku Terpakai (5110), Biaya Tenaga Kerja Langsung (5120), Overhead Pabrik (5130-5139), dan Selisih/Variansi Stok (5140-5149).</w:t>
      </w:r>
    </w:p>
    <w:p>
      <w:pPr>
        <w:spacing w:before="200" w:after="80"/>
      </w:pPr>
      <w:r>
        <w:rPr>
          <w:rFonts w:ascii="Calibri" w:hAnsi="Calibri"/>
          <w:b/>
          <w:color w:val="2E75B6"/>
          <w:sz w:val="22"/>
        </w:rPr>
        <w:t>Soal Nomor 10</w:t>
      </w:r>
    </w:p>
    <w:p>
      <w:pPr>
        <w:spacing w:after="80"/>
      </w:pPr>
      <w:r>
        <w:rPr>
          <w:b/>
        </w:rPr>
        <w:t xml:space="preserve">Pertanyaan: </w:t>
      </w:r>
      <w:r>
        <w:t>Apa kegunaan kolom Is Group pada tabel Chart of Accounts di ERPNext?</w:t>
      </w:r>
    </w:p>
    <w:p>
      <w:pPr>
        <w:spacing w:after="120"/>
      </w:pPr>
      <w:r>
        <w:rPr>
          <w:b/>
          <w:color w:val="268000"/>
        </w:rPr>
        <w:t xml:space="preserve">Jawaban Ringkas: </w:t>
      </w:r>
      <w:r>
        <w:t>Kolom Is Group menentukan status akun: nilai '1' (Yes) menandai akun induk (folder/penampung), sedangkan '0' (No) menandai akun rincian (buku besar/ledger).</w:t>
      </w:r>
    </w:p>
    <w:p>
      <w:pPr>
        <w:spacing w:before="40" w:after="240"/>
      </w:pPr>
      <w:r>
        <w:rPr>
          <w:b/>
          <w:color w:val="B45000"/>
        </w:rPr>
        <w:t>Pembahasan Detail &amp; Analisis Sistem:</w:t>
        <w:br/>
      </w:r>
      <w:r>
        <w:rPr>
          <w:color w:val="3C3C3C"/>
          <w:sz w:val="20"/>
        </w:rPr>
        <w:t>Akun bertipe Group (Is Group = 1) berfungsi sebagai struktur pengorganisasian laporan keuangan dan tidak dapat dipilih secara langsung dalam voucher jurnal atau transaksi bisnis. Sebaliknya, transaksi keuangan hanya dapat dibukukan ke akun rincian bertipe Ledger (Is Group = 0). Pengaturan ini memastikan laporan neraca dapat ditampilkannya secara ringkas (per grup) maupun detail (per ledger).</w:t>
      </w:r>
    </w:p>
    <w:p>
      <w:pPr>
        <w:spacing w:before="320" w:after="160"/>
      </w:pPr>
      <w:r>
        <w:rPr>
          <w:rFonts w:ascii="Calibri" w:hAnsi="Calibri"/>
          <w:b/>
          <w:color w:val="1F4E79"/>
          <w:sz w:val="26"/>
        </w:rPr>
        <w:t>MODUL 3: ALUR TRANSAKSI OPERASIONAL &amp; MANUFAKTUR</w:t>
      </w:r>
    </w:p>
    <w:p>
      <w:pPr>
        <w:spacing w:before="200" w:after="80"/>
      </w:pPr>
      <w:r>
        <w:rPr>
          <w:rFonts w:ascii="Calibri" w:hAnsi="Calibri"/>
          <w:b/>
          <w:color w:val="2E75B6"/>
          <w:sz w:val="22"/>
        </w:rPr>
        <w:t>Soal Nomor 11</w:t>
      </w:r>
    </w:p>
    <w:p>
      <w:pPr>
        <w:spacing w:after="80"/>
      </w:pPr>
      <w:r>
        <w:rPr>
          <w:b/>
        </w:rPr>
        <w:t xml:space="preserve">Pertanyaan: </w:t>
      </w:r>
      <w:r>
        <w:t>Sebutkan urutan dokumen pada siklus pengadaan persediaan (Procure-to-Pay) di ERPNext!</w:t>
      </w:r>
    </w:p>
    <w:p>
      <w:pPr>
        <w:spacing w:after="120"/>
      </w:pPr>
      <w:r>
        <w:rPr>
          <w:b/>
          <w:color w:val="268000"/>
        </w:rPr>
        <w:t xml:space="preserve">Jawaban Ringkas: </w:t>
      </w:r>
      <w:r>
        <w:t>Urutan dokumen standar: Material Request (MR) -&gt; Purchase Order (PO) -&gt; Purchase Receipt (PR) -&gt; Purchase Invoice (PI) -&gt; Payment Entry.</w:t>
      </w:r>
    </w:p>
    <w:p>
      <w:pPr>
        <w:spacing w:before="40" w:after="240"/>
      </w:pPr>
      <w:r>
        <w:rPr>
          <w:b/>
          <w:color w:val="B45000"/>
        </w:rPr>
        <w:t>Pembahasan Detail &amp; Analisis Sistem:</w:t>
        <w:br/>
      </w:r>
      <w:r>
        <w:rPr>
          <w:color w:val="3C3C3C"/>
          <w:sz w:val="20"/>
        </w:rPr>
        <w:t>Alur pengadaan bahan baku terintegrasi:</w:t>
        <w:br/>
        <w:t>1. Material Request (MR): Diterbitkan oleh departemen gudang/PPIC berdasarkan kekurangan stok minimum.</w:t>
        <w:br/>
        <w:t>2. Purchase Order (PO): Diterbitkan oleh bagian Pembelian (Procurement) kepada supplier terpilih sebagai komitmen pemesanan resmi.</w:t>
        <w:br/>
        <w:t>3. Purchase Receipt (PR): Dibuat oleh bagian Gudang saat fisik barang sampai untuk memperbarui stok dan jurnal nilai persediaan.</w:t>
        <w:br/>
        <w:t>4. Purchase Invoice (PI): Diterbitkan oleh bagian Akuntansi berdasarkan tagihan resmi supplier.</w:t>
        <w:br/>
        <w:t>5. Payment Entry: Pembayaran tagihan melalui Kas/Bank.</w:t>
      </w:r>
    </w:p>
    <w:p>
      <w:pPr>
        <w:spacing w:before="200" w:after="80"/>
      </w:pPr>
      <w:r>
        <w:rPr>
          <w:rFonts w:ascii="Calibri" w:hAnsi="Calibri"/>
          <w:b/>
          <w:color w:val="2E75B6"/>
          <w:sz w:val="22"/>
        </w:rPr>
        <w:t>Soal Nomor 12</w:t>
      </w:r>
    </w:p>
    <w:p>
      <w:pPr>
        <w:spacing w:after="80"/>
      </w:pPr>
      <w:r>
        <w:rPr>
          <w:b/>
        </w:rPr>
        <w:t xml:space="preserve">Pertanyaan: </w:t>
      </w:r>
      <w:r>
        <w:t>Pada tahap mana dalam siklus pengadaan nilai persediaan bahan baku bertambah secara fisik dan finansial?</w:t>
      </w:r>
    </w:p>
    <w:p>
      <w:pPr>
        <w:spacing w:after="120"/>
      </w:pPr>
      <w:r>
        <w:rPr>
          <w:b/>
          <w:color w:val="268000"/>
        </w:rPr>
        <w:t xml:space="preserve">Jawaban Ringkas: </w:t>
      </w:r>
      <w:r>
        <w:t>Nilai dan saldo persediaan bertambah secara fisik dan finansial pada saat dokumen Purchase Receipt (PR) disubmit.</w:t>
      </w:r>
    </w:p>
    <w:p>
      <w:pPr>
        <w:spacing w:before="40" w:after="240"/>
      </w:pPr>
      <w:r>
        <w:rPr>
          <w:b/>
          <w:color w:val="B45000"/>
        </w:rPr>
        <w:t>Pembahasan Detail &amp; Analisis Sistem:</w:t>
        <w:br/>
      </w:r>
      <w:r>
        <w:rPr>
          <w:color w:val="3C3C3C"/>
          <w:sz w:val="20"/>
        </w:rPr>
        <w:t>Meskipun barang sudah dipesan melalui Purchase Order (PO), PO tidak memperbarui neraca atau jumlah fisik gudang. Saat Purchase Receipt (PR) disubmit, ERPNext menambah kuantitas di Stock Ledger dan membukukan entri akuntansi otomatis (Debet: Persediaan Bahan Baku, Kredit: Stock Received But Not Billed). Hal ini memungkinkan operasional pabrik langsung menggunakan bahan tersebut untuk produksi tanpa harus menunggu invoice tagihan (PI) dari supplier tiba.</w:t>
      </w:r>
    </w:p>
    <w:p>
      <w:pPr>
        <w:spacing w:before="200" w:after="80"/>
      </w:pPr>
      <w:r>
        <w:rPr>
          <w:rFonts w:ascii="Calibri" w:hAnsi="Calibri"/>
          <w:b/>
          <w:color w:val="2E75B6"/>
          <w:sz w:val="22"/>
        </w:rPr>
        <w:t>Soal Nomor 13</w:t>
      </w:r>
    </w:p>
    <w:p>
      <w:pPr>
        <w:spacing w:after="80"/>
      </w:pPr>
      <w:r>
        <w:rPr>
          <w:b/>
        </w:rPr>
        <w:t xml:space="preserve">Pertanyaan: </w:t>
      </w:r>
      <w:r>
        <w:t>Jelaskan 2 tahapan entri stok (Stock Entry) utama pada saat pelaksanaan Work Order produksi!</w:t>
      </w:r>
    </w:p>
    <w:p>
      <w:pPr>
        <w:spacing w:after="120"/>
      </w:pPr>
      <w:r>
        <w:rPr>
          <w:b/>
          <w:color w:val="268000"/>
        </w:rPr>
        <w:t xml:space="preserve">Jawaban Ringkas: </w:t>
      </w:r>
      <w:r>
        <w:t>Dua tahapan utama adalah 'Material Transfer for Manufacture' dan 'Manufacture'.</w:t>
      </w:r>
    </w:p>
    <w:p>
      <w:pPr>
        <w:spacing w:before="40" w:after="240"/>
      </w:pPr>
      <w:r>
        <w:rPr>
          <w:b/>
          <w:color w:val="B45000"/>
        </w:rPr>
        <w:t>Pembahasan Detail &amp; Analisis Sistem:</w:t>
        <w:br/>
      </w:r>
      <w:r>
        <w:rPr>
          <w:color w:val="3C3C3C"/>
          <w:sz w:val="20"/>
        </w:rPr>
        <w:t>Tahapan eksekusi produksi di ERPNext:</w:t>
        <w:br/>
        <w:t>1. Stock Entry - Material Transfer for Manufacture: Memindahkan bahan baku dan bahan penolong dari Gudang Bahan Baku (GBB) ke Gudang WIP di lantai produksi. Pada tahap ini persediaan bahan baku berkurang dan persediaan WIP bertambah.</w:t>
        <w:br/>
        <w:t>2. Stock Entry - Manufacture: Mengonfirmasi bahwa proses perakitan telah selesai. Sistem secara otomatis mengurangi persediaan di Gudang WIP, menambahkan biaya overhead/tenaga kerja, dan membukukan produk jadi yang telah selesai ke Gudang Barang Jadi (GBJ).</w:t>
      </w:r>
    </w:p>
    <w:p>
      <w:pPr>
        <w:spacing w:before="200" w:after="80"/>
      </w:pPr>
      <w:r>
        <w:rPr>
          <w:rFonts w:ascii="Calibri" w:hAnsi="Calibri"/>
          <w:b/>
          <w:color w:val="2E75B6"/>
          <w:sz w:val="22"/>
        </w:rPr>
        <w:t>Soal Nomor 14</w:t>
      </w:r>
    </w:p>
    <w:p>
      <w:pPr>
        <w:spacing w:after="80"/>
      </w:pPr>
      <w:r>
        <w:rPr>
          <w:b/>
        </w:rPr>
        <w:t xml:space="preserve">Pertanyaan: </w:t>
      </w:r>
      <w:r>
        <w:t>Bagaimana cara mencatat biaya tenaga kerja langsung (TKGL) dan biaya overhead pabrik (BOP) ke dalam nilai barang jadi di ERPNext?</w:t>
      </w:r>
    </w:p>
    <w:p>
      <w:pPr>
        <w:spacing w:after="120"/>
      </w:pPr>
      <w:r>
        <w:rPr>
          <w:b/>
          <w:color w:val="268000"/>
        </w:rPr>
        <w:t xml:space="preserve">Jawaban Ringkas: </w:t>
      </w:r>
      <w:r>
        <w:t>Biaya TKGL dan BOP dikonfigurasi melalui tabel Operating Costs pada BOM atau diinput pada tabel Additional Costs pada saat pembukuan Stock Entry: Manufacture.</w:t>
      </w:r>
    </w:p>
    <w:p>
      <w:pPr>
        <w:spacing w:before="40" w:after="240"/>
      </w:pPr>
      <w:r>
        <w:rPr>
          <w:b/>
          <w:color w:val="B45000"/>
        </w:rPr>
        <w:t>Pembahasan Detail &amp; Analisis Sistem:</w:t>
        <w:br/>
      </w:r>
      <w:r>
        <w:rPr>
          <w:color w:val="3C3C3C"/>
          <w:sz w:val="20"/>
        </w:rPr>
        <w:t>Nilai akhir suatu barang jadi di ERPNext tidak hanya terdiri dari akumulasi harga bahan baku (Direct Material), tetapi juga menyerap biaya konversi (Conversion Cost). Melalui fitur BOM Operations atau Additional Costs di Stock Entry, pengguna dapat menentukan besaran tarif per jam (Work Center Rate) atau biaya operasional langsung. Biaya ini akan mengkreditkan akun alokasi biaya overhead dan mendebetkan/meningkatkan nilai harga pokok produksi barang jadi (Finished Goods Valuation Rate).</w:t>
      </w:r>
    </w:p>
    <w:p>
      <w:pPr>
        <w:spacing w:before="200" w:after="80"/>
      </w:pPr>
      <w:r>
        <w:rPr>
          <w:rFonts w:ascii="Calibri" w:hAnsi="Calibri"/>
          <w:b/>
          <w:color w:val="2E75B6"/>
          <w:sz w:val="22"/>
        </w:rPr>
        <w:t>Soal Nomor 15</w:t>
      </w:r>
    </w:p>
    <w:p>
      <w:pPr>
        <w:spacing w:after="80"/>
      </w:pPr>
      <w:r>
        <w:rPr>
          <w:b/>
        </w:rPr>
        <w:t xml:space="preserve">Pertanyaan: </w:t>
      </w:r>
      <w:r>
        <w:t>Sebutkan urutan dokumen pada alur penjualan barang jadi (Order-to-Cash) hingga penerimaan kas pelanggan!</w:t>
      </w:r>
    </w:p>
    <w:p>
      <w:pPr>
        <w:spacing w:after="120"/>
      </w:pPr>
      <w:r>
        <w:rPr>
          <w:b/>
          <w:color w:val="268000"/>
        </w:rPr>
        <w:t xml:space="preserve">Jawaban Ringkas: </w:t>
      </w:r>
      <w:r>
        <w:t>Urutan dokumen standar: Sales Order (SO) -&gt; Delivery Note (DN) -&gt; Sales Invoice (SI) -&gt; Payment Entry.</w:t>
      </w:r>
    </w:p>
    <w:p>
      <w:pPr>
        <w:spacing w:before="40" w:after="240"/>
      </w:pPr>
      <w:r>
        <w:rPr>
          <w:b/>
          <w:color w:val="B45000"/>
        </w:rPr>
        <w:t>Pembahasan Detail &amp; Analisis Sistem:</w:t>
        <w:br/>
      </w:r>
      <w:r>
        <w:rPr>
          <w:color w:val="3C3C3C"/>
          <w:sz w:val="20"/>
        </w:rPr>
        <w:t>Alur penyerahan dan komersialisasi produk:</w:t>
        <w:br/>
        <w:t>1. Sales Order (SO): Kontrak penjualan dari pelanggan.</w:t>
        <w:br/>
        <w:t>2. Delivery Note (DN): Surat jalan pengeluaran barang jadi dari Gudang Barang Jadi (GBJ). Dokumen ini mengkreditkan persediaan dan mendebetkan HPP.</w:t>
        <w:br/>
        <w:t>3. Sales Invoice (SI): Tagihan faktur penjualan yang mendebetkan Piutang Usaha dan mengkreditkan Pendapatan Penjualan.</w:t>
        <w:br/>
        <w:t>4. Payment Entry: Pelunasan tagihan dari pelanggan yang menambah saldo Kas/Bank dan mengurangi Piutang Usaha.</w:t>
      </w:r>
    </w:p>
    <w:p>
      <w:pPr>
        <w:spacing w:before="320" w:after="160"/>
      </w:pPr>
      <w:r>
        <w:rPr>
          <w:rFonts w:ascii="Calibri" w:hAnsi="Calibri"/>
          <w:b/>
          <w:color w:val="1F4E79"/>
          <w:sz w:val="26"/>
        </w:rPr>
        <w:t>MODUL 4: PENCATATAN JURNAL AKUNTANSI MANUFAKTUR (PRAKTIK ERPNEXT)</w:t>
      </w:r>
    </w:p>
    <w:p>
      <w:pPr>
        <w:spacing w:before="200" w:after="80"/>
      </w:pPr>
      <w:r>
        <w:rPr>
          <w:rFonts w:ascii="Calibri" w:hAnsi="Calibri"/>
          <w:b/>
          <w:color w:val="2E75B6"/>
          <w:sz w:val="22"/>
        </w:rPr>
        <w:t>Soal Nomor 16</w:t>
      </w:r>
    </w:p>
    <w:p>
      <w:pPr>
        <w:spacing w:after="80"/>
      </w:pPr>
      <w:r>
        <w:rPr>
          <w:b/>
        </w:rPr>
        <w:t xml:space="preserve">Pertanyaan: </w:t>
      </w:r>
      <w:r>
        <w:t>Tuliskan entri jurnal otomatis saat diterbitkan Purchase Receipt untuk pembelian bahan baku seharga Rp10.000.000!</w:t>
      </w:r>
    </w:p>
    <w:p>
      <w:pPr>
        <w:spacing w:after="120"/>
      </w:pPr>
      <w:r>
        <w:rPr>
          <w:b/>
          <w:color w:val="268000"/>
        </w:rPr>
        <w:t xml:space="preserve">Jawaban Ringkas: </w:t>
      </w:r>
      <w:r>
        <w:t>Jurnal Otomatis Purchase Receipt (PR):</w:t>
      </w:r>
    </w:p>
    <w:tbl>
      <w:tblPr>
        <w:tblW w:type="auto" w:w="0"/>
        <w:jc w:val="center"/>
        <w:tblLayout w:type="fixed"/>
        <w:tblLook w:firstColumn="1" w:firstRow="1" w:lastColumn="0" w:lastRow="0" w:noHBand="0" w:noVBand="1" w:val="04A0"/>
      </w:tblPr>
      <w:tblGrid>
        <w:gridCol w:w="3120"/>
        <w:gridCol w:w="3120"/>
        <w:gridCol w:w="3120"/>
      </w:tblGrid>
      <w:tr>
        <w:tc>
          <w:tcPr>
            <w:tcW w:type="dxa" w:w="4608"/>
            <w:tcMar>
              <w:top w:w="80" w:type="dxa"/>
              <w:bottom w:w="80" w:type="dxa"/>
              <w:left w:w="120" w:type="dxa"/>
              <w:right w:w="120" w:type="dxa"/>
            </w:tcMar>
            <w:shd w:fill="1F4E79" w:val="clear"/>
          </w:tcPr>
          <w:p>
            <w:pPr>
              <w:spacing w:after="0"/>
              <w:jc w:val="left"/>
            </w:pPr>
            <w:r>
              <w:rPr>
                <w:b/>
                <w:color w:val="FFFFFF"/>
              </w:rPr>
              <w:t>Nama Akun</w:t>
            </w:r>
          </w:p>
        </w:tc>
        <w:tc>
          <w:tcPr>
            <w:tcW w:type="dxa" w:w="2160"/>
            <w:tcMar>
              <w:top w:w="80" w:type="dxa"/>
              <w:bottom w:w="80" w:type="dxa"/>
              <w:left w:w="120" w:type="dxa"/>
              <w:right w:w="120" w:type="dxa"/>
            </w:tcMar>
            <w:shd w:fill="1F4E79" w:val="clear"/>
          </w:tcPr>
          <w:p>
            <w:pPr>
              <w:spacing w:after="0"/>
              <w:jc w:val="center"/>
            </w:pPr>
            <w:r>
              <w:rPr>
                <w:b/>
                <w:color w:val="FFFFFF"/>
              </w:rPr>
              <w:t>Debet (IDR)</w:t>
            </w:r>
          </w:p>
        </w:tc>
        <w:tc>
          <w:tcPr>
            <w:tcW w:type="dxa" w:w="2160"/>
            <w:tcMar>
              <w:top w:w="80" w:type="dxa"/>
              <w:bottom w:w="80" w:type="dxa"/>
              <w:left w:w="120" w:type="dxa"/>
              <w:right w:w="120" w:type="dxa"/>
            </w:tcMar>
            <w:shd w:fill="1F4E79" w:val="clear"/>
          </w:tcPr>
          <w:p>
            <w:pPr>
              <w:spacing w:after="0"/>
              <w:jc w:val="center"/>
            </w:pPr>
            <w:r>
              <w:rPr>
                <w:b/>
                <w:color w:val="FFFFFF"/>
              </w:rPr>
              <w:t>Kredit (IDR)</w:t>
            </w:r>
          </w:p>
        </w:tc>
      </w:tr>
      <w:tr>
        <w:tc>
          <w:tcPr>
            <w:tcW w:type="dxa" w:w="4608"/>
            <w:tcMar>
              <w:top w:w="80" w:type="dxa"/>
              <w:bottom w:w="80" w:type="dxa"/>
              <w:left w:w="120" w:type="dxa"/>
              <w:right w:w="120" w:type="dxa"/>
            </w:tcMar>
            <w:shd w:fill="F2F2F2" w:val="clear"/>
          </w:tcPr>
          <w:p>
            <w:pPr>
              <w:spacing w:after="0"/>
            </w:pPr>
            <w:r>
              <w:t>1131 - Persediaan Bahan Baku</w:t>
            </w:r>
          </w:p>
        </w:tc>
        <w:tc>
          <w:tcPr>
            <w:tcW w:type="dxa" w:w="2160"/>
            <w:tcMar>
              <w:top w:w="80" w:type="dxa"/>
              <w:bottom w:w="80" w:type="dxa"/>
              <w:left w:w="120" w:type="dxa"/>
              <w:right w:w="120" w:type="dxa"/>
            </w:tcMar>
            <w:shd w:fill="F2F2F2" w:val="clear"/>
          </w:tcPr>
          <w:p>
            <w:pPr>
              <w:spacing w:after="0"/>
              <w:jc w:val="right"/>
            </w:pPr>
            <w:r>
              <w:t>10.000.000</w:t>
            </w:r>
          </w:p>
        </w:tc>
        <w:tc>
          <w:tcPr>
            <w:tcW w:type="dxa" w:w="2160"/>
            <w:tcMar>
              <w:top w:w="80" w:type="dxa"/>
              <w:bottom w:w="80" w:type="dxa"/>
              <w:left w:w="120" w:type="dxa"/>
              <w:right w:w="120" w:type="dxa"/>
            </w:tcMar>
            <w:shd w:fill="F2F2F2" w:val="clear"/>
          </w:tcPr>
          <w:p>
            <w:pPr>
              <w:spacing w:after="0"/>
              <w:jc w:val="right"/>
            </w:pPr>
            <w:r>
              <w:t>-</w:t>
            </w:r>
          </w:p>
        </w:tc>
      </w:tr>
      <w:tr>
        <w:tc>
          <w:tcPr>
            <w:tcW w:type="dxa" w:w="4608"/>
            <w:tcMar>
              <w:top w:w="80" w:type="dxa"/>
              <w:bottom w:w="80" w:type="dxa"/>
              <w:left w:w="120" w:type="dxa"/>
              <w:right w:w="120" w:type="dxa"/>
            </w:tcMar>
          </w:tcPr>
          <w:p>
            <w:pPr>
              <w:spacing w:after="0"/>
            </w:pPr>
            <w:r>
              <w:t>2112 - Stock Received But Not Billed</w:t>
            </w:r>
          </w:p>
        </w:tc>
        <w:tc>
          <w:tcPr>
            <w:tcW w:type="dxa" w:w="2160"/>
            <w:tcMar>
              <w:top w:w="80" w:type="dxa"/>
              <w:bottom w:w="80" w:type="dxa"/>
              <w:left w:w="120" w:type="dxa"/>
              <w:right w:w="120" w:type="dxa"/>
            </w:tcMar>
          </w:tcPr>
          <w:p>
            <w:pPr>
              <w:spacing w:after="0"/>
              <w:jc w:val="right"/>
            </w:pPr>
            <w:r>
              <w:t>-</w:t>
            </w:r>
          </w:p>
        </w:tc>
        <w:tc>
          <w:tcPr>
            <w:tcW w:type="dxa" w:w="2160"/>
            <w:tcMar>
              <w:top w:w="80" w:type="dxa"/>
              <w:bottom w:w="80" w:type="dxa"/>
              <w:left w:w="120" w:type="dxa"/>
              <w:right w:w="120" w:type="dxa"/>
            </w:tcMar>
          </w:tcPr>
          <w:p>
            <w:pPr>
              <w:spacing w:after="0"/>
              <w:jc w:val="right"/>
            </w:pPr>
            <w:r>
              <w:t>10.000.000</w:t>
            </w:r>
          </w:p>
        </w:tc>
      </w:tr>
    </w:tbl>
    <w:p>
      <w:pPr>
        <w:spacing w:before="80" w:after="40"/>
      </w:pPr>
    </w:p>
    <w:p>
      <w:pPr>
        <w:spacing w:before="40" w:after="240"/>
      </w:pPr>
      <w:r>
        <w:rPr>
          <w:b/>
          <w:color w:val="B45000"/>
        </w:rPr>
        <w:t>Pembahasan Detail &amp; Analisis Sistem:</w:t>
        <w:br/>
      </w:r>
      <w:r>
        <w:rPr>
          <w:color w:val="3C3C3C"/>
          <w:sz w:val="20"/>
        </w:rPr>
        <w:t>Penjelasan Akuntansi: Akun 'Persediaan Bahan Baku' bertambah di sisi Debet karena barang fisik telah diterima di gudang. Karena invoice tagihan belum diterbitkan oleh supplier, ERPNext menggunakan akun kewajiban sementara 'Stock Received But Not Billed' di sisi Kredit. Saat Purchase Invoice (PI) diterbitkan di kemudian hari, akun sementara ini akan didebet (dihapus) dan dikreditkan ke '2111 - Hutang Dagang Supplier'.</w:t>
      </w:r>
    </w:p>
    <w:p>
      <w:pPr>
        <w:spacing w:before="200" w:after="80"/>
      </w:pPr>
      <w:r>
        <w:rPr>
          <w:rFonts w:ascii="Calibri" w:hAnsi="Calibri"/>
          <w:b/>
          <w:color w:val="2E75B6"/>
          <w:sz w:val="22"/>
        </w:rPr>
        <w:t>Soal Nomor 17</w:t>
      </w:r>
    </w:p>
    <w:p>
      <w:pPr>
        <w:spacing w:after="80"/>
      </w:pPr>
      <w:r>
        <w:rPr>
          <w:b/>
        </w:rPr>
        <w:t xml:space="preserve">Pertanyaan: </w:t>
      </w:r>
      <w:r>
        <w:t>Tuliskan entri jurnal otomatis saat dokumen Stock Entry: Material Transfer for Manufacture disubmit untuk bahan senilai Rp5.000.000!</w:t>
      </w:r>
    </w:p>
    <w:p>
      <w:pPr>
        <w:spacing w:after="120"/>
      </w:pPr>
      <w:r>
        <w:rPr>
          <w:b/>
          <w:color w:val="268000"/>
        </w:rPr>
        <w:t xml:space="preserve">Jawaban Ringkas: </w:t>
      </w:r>
      <w:r>
        <w:t>Jurnal Otomatis Pemindahan Bahan ke WIP:</w:t>
      </w:r>
    </w:p>
    <w:tbl>
      <w:tblPr>
        <w:tblW w:type="auto" w:w="0"/>
        <w:jc w:val="center"/>
        <w:tblLayout w:type="fixed"/>
        <w:tblLook w:firstColumn="1" w:firstRow="1" w:lastColumn="0" w:lastRow="0" w:noHBand="0" w:noVBand="1" w:val="04A0"/>
      </w:tblPr>
      <w:tblGrid>
        <w:gridCol w:w="3120"/>
        <w:gridCol w:w="3120"/>
        <w:gridCol w:w="3120"/>
      </w:tblGrid>
      <w:tr>
        <w:tc>
          <w:tcPr>
            <w:tcW w:type="dxa" w:w="4608"/>
            <w:tcMar>
              <w:top w:w="80" w:type="dxa"/>
              <w:bottom w:w="80" w:type="dxa"/>
              <w:left w:w="120" w:type="dxa"/>
              <w:right w:w="120" w:type="dxa"/>
            </w:tcMar>
            <w:shd w:fill="1F4E79" w:val="clear"/>
          </w:tcPr>
          <w:p>
            <w:pPr>
              <w:spacing w:after="0"/>
              <w:jc w:val="left"/>
            </w:pPr>
            <w:r>
              <w:rPr>
                <w:b/>
                <w:color w:val="FFFFFF"/>
              </w:rPr>
              <w:t>Nama Akun</w:t>
            </w:r>
          </w:p>
        </w:tc>
        <w:tc>
          <w:tcPr>
            <w:tcW w:type="dxa" w:w="2160"/>
            <w:tcMar>
              <w:top w:w="80" w:type="dxa"/>
              <w:bottom w:w="80" w:type="dxa"/>
              <w:left w:w="120" w:type="dxa"/>
              <w:right w:w="120" w:type="dxa"/>
            </w:tcMar>
            <w:shd w:fill="1F4E79" w:val="clear"/>
          </w:tcPr>
          <w:p>
            <w:pPr>
              <w:spacing w:after="0"/>
              <w:jc w:val="center"/>
            </w:pPr>
            <w:r>
              <w:rPr>
                <w:b/>
                <w:color w:val="FFFFFF"/>
              </w:rPr>
              <w:t>Debet (IDR)</w:t>
            </w:r>
          </w:p>
        </w:tc>
        <w:tc>
          <w:tcPr>
            <w:tcW w:type="dxa" w:w="2160"/>
            <w:tcMar>
              <w:top w:w="80" w:type="dxa"/>
              <w:bottom w:w="80" w:type="dxa"/>
              <w:left w:w="120" w:type="dxa"/>
              <w:right w:w="120" w:type="dxa"/>
            </w:tcMar>
            <w:shd w:fill="1F4E79" w:val="clear"/>
          </w:tcPr>
          <w:p>
            <w:pPr>
              <w:spacing w:after="0"/>
              <w:jc w:val="center"/>
            </w:pPr>
            <w:r>
              <w:rPr>
                <w:b/>
                <w:color w:val="FFFFFF"/>
              </w:rPr>
              <w:t>Kredit (IDR)</w:t>
            </w:r>
          </w:p>
        </w:tc>
      </w:tr>
      <w:tr>
        <w:tc>
          <w:tcPr>
            <w:tcW w:type="dxa" w:w="4608"/>
            <w:tcMar>
              <w:top w:w="80" w:type="dxa"/>
              <w:bottom w:w="80" w:type="dxa"/>
              <w:left w:w="120" w:type="dxa"/>
              <w:right w:w="120" w:type="dxa"/>
            </w:tcMar>
            <w:shd w:fill="F2F2F2" w:val="clear"/>
          </w:tcPr>
          <w:p>
            <w:pPr>
              <w:spacing w:after="0"/>
            </w:pPr>
            <w:r>
              <w:t>1133 - Persediaan Barang Dalam Proses (WIP)</w:t>
            </w:r>
          </w:p>
        </w:tc>
        <w:tc>
          <w:tcPr>
            <w:tcW w:type="dxa" w:w="2160"/>
            <w:tcMar>
              <w:top w:w="80" w:type="dxa"/>
              <w:bottom w:w="80" w:type="dxa"/>
              <w:left w:w="120" w:type="dxa"/>
              <w:right w:w="120" w:type="dxa"/>
            </w:tcMar>
            <w:shd w:fill="F2F2F2" w:val="clear"/>
          </w:tcPr>
          <w:p>
            <w:pPr>
              <w:spacing w:after="0"/>
              <w:jc w:val="right"/>
            </w:pPr>
            <w:r>
              <w:t>5.000.000</w:t>
            </w:r>
          </w:p>
        </w:tc>
        <w:tc>
          <w:tcPr>
            <w:tcW w:type="dxa" w:w="2160"/>
            <w:tcMar>
              <w:top w:w="80" w:type="dxa"/>
              <w:bottom w:w="80" w:type="dxa"/>
              <w:left w:w="120" w:type="dxa"/>
              <w:right w:w="120" w:type="dxa"/>
            </w:tcMar>
            <w:shd w:fill="F2F2F2" w:val="clear"/>
          </w:tcPr>
          <w:p>
            <w:pPr>
              <w:spacing w:after="0"/>
              <w:jc w:val="right"/>
            </w:pPr>
            <w:r>
              <w:t>-</w:t>
            </w:r>
          </w:p>
        </w:tc>
      </w:tr>
      <w:tr>
        <w:tc>
          <w:tcPr>
            <w:tcW w:type="dxa" w:w="4608"/>
            <w:tcMar>
              <w:top w:w="80" w:type="dxa"/>
              <w:bottom w:w="80" w:type="dxa"/>
              <w:left w:w="120" w:type="dxa"/>
              <w:right w:w="120" w:type="dxa"/>
            </w:tcMar>
          </w:tcPr>
          <w:p>
            <w:pPr>
              <w:spacing w:after="0"/>
            </w:pPr>
            <w:r>
              <w:t>1131 - Persediaan Bahan Baku</w:t>
            </w:r>
          </w:p>
        </w:tc>
        <w:tc>
          <w:tcPr>
            <w:tcW w:type="dxa" w:w="2160"/>
            <w:tcMar>
              <w:top w:w="80" w:type="dxa"/>
              <w:bottom w:w="80" w:type="dxa"/>
              <w:left w:w="120" w:type="dxa"/>
              <w:right w:w="120" w:type="dxa"/>
            </w:tcMar>
          </w:tcPr>
          <w:p>
            <w:pPr>
              <w:spacing w:after="0"/>
              <w:jc w:val="right"/>
            </w:pPr>
            <w:r>
              <w:t>-</w:t>
            </w:r>
          </w:p>
        </w:tc>
        <w:tc>
          <w:tcPr>
            <w:tcW w:type="dxa" w:w="2160"/>
            <w:tcMar>
              <w:top w:w="80" w:type="dxa"/>
              <w:bottom w:w="80" w:type="dxa"/>
              <w:left w:w="120" w:type="dxa"/>
              <w:right w:w="120" w:type="dxa"/>
            </w:tcMar>
          </w:tcPr>
          <w:p>
            <w:pPr>
              <w:spacing w:after="0"/>
              <w:jc w:val="right"/>
            </w:pPr>
            <w:r>
              <w:t>5.000.000</w:t>
            </w:r>
          </w:p>
        </w:tc>
      </w:tr>
    </w:tbl>
    <w:p>
      <w:pPr>
        <w:spacing w:before="80" w:after="40"/>
      </w:pPr>
    </w:p>
    <w:p>
      <w:pPr>
        <w:spacing w:before="40" w:after="240"/>
      </w:pPr>
      <w:r>
        <w:rPr>
          <w:b/>
          <w:color w:val="B45000"/>
        </w:rPr>
        <w:t>Pembahasan Detail &amp; Analisis Sistem:</w:t>
        <w:br/>
      </w:r>
      <w:r>
        <w:rPr>
          <w:color w:val="3C3C3C"/>
          <w:sz w:val="20"/>
        </w:rPr>
        <w:t>Penjelasan Akuntansi: Transaksi ini merupakan reklasifikasi aset persediaan internal dari Gudang Bahan Baku ke Gudang WIP di lantai produksi. Tidak ada biaya yang diakui sebagai beban pada laporan Laba Rugi pada tahap ini; hanya terjadi pergeseran posisi persediaan di Laporan Posisi Keuangan (Neraca).</w:t>
      </w:r>
    </w:p>
    <w:p>
      <w:pPr>
        <w:spacing w:before="200" w:after="80"/>
      </w:pPr>
      <w:r>
        <w:rPr>
          <w:rFonts w:ascii="Calibri" w:hAnsi="Calibri"/>
          <w:b/>
          <w:color w:val="2E75B6"/>
          <w:sz w:val="22"/>
        </w:rPr>
        <w:t>Soal Nomor 18</w:t>
      </w:r>
    </w:p>
    <w:p>
      <w:pPr>
        <w:spacing w:after="80"/>
      </w:pPr>
      <w:r>
        <w:rPr>
          <w:b/>
        </w:rPr>
        <w:t xml:space="preserve">Pertanyaan: </w:t>
      </w:r>
      <w:r>
        <w:t>Tuliskan entri jurnal otomatis saat dokumen Stock Entry: Manufacture disubmit untuk barang jadi senilai Rp7.500.000 (Bahan Rp5.000.000 + Overhead/TKGL Rp2.500.000)!</w:t>
      </w:r>
    </w:p>
    <w:p>
      <w:pPr>
        <w:spacing w:after="120"/>
      </w:pPr>
      <w:r>
        <w:rPr>
          <w:b/>
          <w:color w:val="268000"/>
        </w:rPr>
        <w:t xml:space="preserve">Jawaban Ringkas: </w:t>
      </w:r>
      <w:r>
        <w:t>Jurnal Otomatis Penyelesaian Produksi (Manufacture):</w:t>
      </w:r>
    </w:p>
    <w:tbl>
      <w:tblPr>
        <w:tblW w:type="auto" w:w="0"/>
        <w:jc w:val="center"/>
        <w:tblLayout w:type="fixed"/>
        <w:tblLook w:firstColumn="1" w:firstRow="1" w:lastColumn="0" w:lastRow="0" w:noHBand="0" w:noVBand="1" w:val="04A0"/>
      </w:tblPr>
      <w:tblGrid>
        <w:gridCol w:w="3120"/>
        <w:gridCol w:w="3120"/>
        <w:gridCol w:w="3120"/>
      </w:tblGrid>
      <w:tr>
        <w:tc>
          <w:tcPr>
            <w:tcW w:type="dxa" w:w="4608"/>
            <w:tcMar>
              <w:top w:w="80" w:type="dxa"/>
              <w:bottom w:w="80" w:type="dxa"/>
              <w:left w:w="120" w:type="dxa"/>
              <w:right w:w="120" w:type="dxa"/>
            </w:tcMar>
            <w:shd w:fill="1F4E79" w:val="clear"/>
          </w:tcPr>
          <w:p>
            <w:pPr>
              <w:spacing w:after="0"/>
              <w:jc w:val="left"/>
            </w:pPr>
            <w:r>
              <w:rPr>
                <w:b/>
                <w:color w:val="FFFFFF"/>
              </w:rPr>
              <w:t>Nama Akun</w:t>
            </w:r>
          </w:p>
        </w:tc>
        <w:tc>
          <w:tcPr>
            <w:tcW w:type="dxa" w:w="2160"/>
            <w:tcMar>
              <w:top w:w="80" w:type="dxa"/>
              <w:bottom w:w="80" w:type="dxa"/>
              <w:left w:w="120" w:type="dxa"/>
              <w:right w:w="120" w:type="dxa"/>
            </w:tcMar>
            <w:shd w:fill="1F4E79" w:val="clear"/>
          </w:tcPr>
          <w:p>
            <w:pPr>
              <w:spacing w:after="0"/>
              <w:jc w:val="center"/>
            </w:pPr>
            <w:r>
              <w:rPr>
                <w:b/>
                <w:color w:val="FFFFFF"/>
              </w:rPr>
              <w:t>Debet (IDR)</w:t>
            </w:r>
          </w:p>
        </w:tc>
        <w:tc>
          <w:tcPr>
            <w:tcW w:type="dxa" w:w="2160"/>
            <w:tcMar>
              <w:top w:w="80" w:type="dxa"/>
              <w:bottom w:w="80" w:type="dxa"/>
              <w:left w:w="120" w:type="dxa"/>
              <w:right w:w="120" w:type="dxa"/>
            </w:tcMar>
            <w:shd w:fill="1F4E79" w:val="clear"/>
          </w:tcPr>
          <w:p>
            <w:pPr>
              <w:spacing w:after="0"/>
              <w:jc w:val="center"/>
            </w:pPr>
            <w:r>
              <w:rPr>
                <w:b/>
                <w:color w:val="FFFFFF"/>
              </w:rPr>
              <w:t>Kredit (IDR)</w:t>
            </w:r>
          </w:p>
        </w:tc>
      </w:tr>
      <w:tr>
        <w:tc>
          <w:tcPr>
            <w:tcW w:type="dxa" w:w="4608"/>
            <w:tcMar>
              <w:top w:w="80" w:type="dxa"/>
              <w:bottom w:w="80" w:type="dxa"/>
              <w:left w:w="120" w:type="dxa"/>
              <w:right w:w="120" w:type="dxa"/>
            </w:tcMar>
            <w:shd w:fill="F2F2F2" w:val="clear"/>
          </w:tcPr>
          <w:p>
            <w:pPr>
              <w:spacing w:after="0"/>
            </w:pPr>
            <w:r>
              <w:t>1134 - Persediaan Barang Jadi (Finished Goods)</w:t>
            </w:r>
          </w:p>
        </w:tc>
        <w:tc>
          <w:tcPr>
            <w:tcW w:type="dxa" w:w="2160"/>
            <w:tcMar>
              <w:top w:w="80" w:type="dxa"/>
              <w:bottom w:w="80" w:type="dxa"/>
              <w:left w:w="120" w:type="dxa"/>
              <w:right w:w="120" w:type="dxa"/>
            </w:tcMar>
            <w:shd w:fill="F2F2F2" w:val="clear"/>
          </w:tcPr>
          <w:p>
            <w:pPr>
              <w:spacing w:after="0"/>
              <w:jc w:val="right"/>
            </w:pPr>
            <w:r>
              <w:t>7.500.000</w:t>
            </w:r>
          </w:p>
        </w:tc>
        <w:tc>
          <w:tcPr>
            <w:tcW w:type="dxa" w:w="2160"/>
            <w:tcMar>
              <w:top w:w="80" w:type="dxa"/>
              <w:bottom w:w="80" w:type="dxa"/>
              <w:left w:w="120" w:type="dxa"/>
              <w:right w:w="120" w:type="dxa"/>
            </w:tcMar>
            <w:shd w:fill="F2F2F2" w:val="clear"/>
          </w:tcPr>
          <w:p>
            <w:pPr>
              <w:spacing w:after="0"/>
              <w:jc w:val="right"/>
            </w:pPr>
            <w:r>
              <w:t>-</w:t>
            </w:r>
          </w:p>
        </w:tc>
      </w:tr>
      <w:tr>
        <w:tc>
          <w:tcPr>
            <w:tcW w:type="dxa" w:w="4608"/>
            <w:tcMar>
              <w:top w:w="80" w:type="dxa"/>
              <w:bottom w:w="80" w:type="dxa"/>
              <w:left w:w="120" w:type="dxa"/>
              <w:right w:w="120" w:type="dxa"/>
            </w:tcMar>
          </w:tcPr>
          <w:p>
            <w:pPr>
              <w:spacing w:after="0"/>
            </w:pPr>
            <w:r>
              <w:t>1133 - Persediaan Barang Dalam Proses (WIP)</w:t>
            </w:r>
          </w:p>
        </w:tc>
        <w:tc>
          <w:tcPr>
            <w:tcW w:type="dxa" w:w="2160"/>
            <w:tcMar>
              <w:top w:w="80" w:type="dxa"/>
              <w:bottom w:w="80" w:type="dxa"/>
              <w:left w:w="120" w:type="dxa"/>
              <w:right w:w="120" w:type="dxa"/>
            </w:tcMar>
          </w:tcPr>
          <w:p>
            <w:pPr>
              <w:spacing w:after="0"/>
              <w:jc w:val="right"/>
            </w:pPr>
            <w:r>
              <w:t>-</w:t>
            </w:r>
          </w:p>
        </w:tc>
        <w:tc>
          <w:tcPr>
            <w:tcW w:type="dxa" w:w="2160"/>
            <w:tcMar>
              <w:top w:w="80" w:type="dxa"/>
              <w:bottom w:w="80" w:type="dxa"/>
              <w:left w:w="120" w:type="dxa"/>
              <w:right w:w="120" w:type="dxa"/>
            </w:tcMar>
          </w:tcPr>
          <w:p>
            <w:pPr>
              <w:spacing w:after="0"/>
              <w:jc w:val="right"/>
            </w:pPr>
            <w:r>
              <w:t>5.000.000</w:t>
            </w:r>
          </w:p>
        </w:tc>
      </w:tr>
      <w:tr>
        <w:tc>
          <w:tcPr>
            <w:tcW w:type="dxa" w:w="4608"/>
            <w:tcMar>
              <w:top w:w="80" w:type="dxa"/>
              <w:bottom w:w="80" w:type="dxa"/>
              <w:left w:w="120" w:type="dxa"/>
              <w:right w:w="120" w:type="dxa"/>
            </w:tcMar>
            <w:shd w:fill="F2F2F2" w:val="clear"/>
          </w:tcPr>
          <w:p>
            <w:pPr>
              <w:spacing w:after="0"/>
            </w:pPr>
            <w:r>
              <w:t>5139 - Biaya Overhead Pabrik Diaplikasikan</w:t>
            </w:r>
          </w:p>
        </w:tc>
        <w:tc>
          <w:tcPr>
            <w:tcW w:type="dxa" w:w="2160"/>
            <w:tcMar>
              <w:top w:w="80" w:type="dxa"/>
              <w:bottom w:w="80" w:type="dxa"/>
              <w:left w:w="120" w:type="dxa"/>
              <w:right w:w="120" w:type="dxa"/>
            </w:tcMar>
            <w:shd w:fill="F2F2F2" w:val="clear"/>
          </w:tcPr>
          <w:p>
            <w:pPr>
              <w:spacing w:after="0"/>
              <w:jc w:val="right"/>
            </w:pPr>
            <w:r>
              <w:t>-</w:t>
            </w:r>
          </w:p>
        </w:tc>
        <w:tc>
          <w:tcPr>
            <w:tcW w:type="dxa" w:w="2160"/>
            <w:tcMar>
              <w:top w:w="80" w:type="dxa"/>
              <w:bottom w:w="80" w:type="dxa"/>
              <w:left w:w="120" w:type="dxa"/>
              <w:right w:w="120" w:type="dxa"/>
            </w:tcMar>
            <w:shd w:fill="F2F2F2" w:val="clear"/>
          </w:tcPr>
          <w:p>
            <w:pPr>
              <w:spacing w:after="0"/>
              <w:jc w:val="right"/>
            </w:pPr>
            <w:r>
              <w:t>2.500.000</w:t>
            </w:r>
          </w:p>
        </w:tc>
      </w:tr>
    </w:tbl>
    <w:p>
      <w:pPr>
        <w:spacing w:before="80" w:after="40"/>
      </w:pPr>
    </w:p>
    <w:p>
      <w:pPr>
        <w:spacing w:before="40" w:after="240"/>
      </w:pPr>
      <w:r>
        <w:rPr>
          <w:b/>
          <w:color w:val="B45000"/>
        </w:rPr>
        <w:t>Pembahasan Detail &amp; Analisis Sistem:</w:t>
        <w:br/>
      </w:r>
      <w:r>
        <w:rPr>
          <w:color w:val="3C3C3C"/>
          <w:sz w:val="20"/>
        </w:rPr>
        <w:t>Penjelasan Akuntansi: Akun Persediaan Barang Jadi bertambah sebesar nilai total Harga Pokok Produksi (Rp7,5 juta). Persediaan WIP sebesar Rp5 juta dikreditkan (habis dikonsumsi). Biaya operasional/overhead sebesar Rp2,5 juta dikreditkan sebagai kontramasuk/alokasi biaya overhead pabrik. Hal ini memastikan seluruh komponen biaya berhasil diserap (absorbed) ke dalam nilai aset barang jadi.</w:t>
      </w:r>
    </w:p>
    <w:p>
      <w:pPr>
        <w:spacing w:before="200" w:after="80"/>
      </w:pPr>
      <w:r>
        <w:rPr>
          <w:rFonts w:ascii="Calibri" w:hAnsi="Calibri"/>
          <w:b/>
          <w:color w:val="2E75B6"/>
          <w:sz w:val="22"/>
        </w:rPr>
        <w:t>Soal Nomor 19</w:t>
      </w:r>
    </w:p>
    <w:p>
      <w:pPr>
        <w:spacing w:after="80"/>
      </w:pPr>
      <w:r>
        <w:rPr>
          <w:b/>
        </w:rPr>
        <w:t xml:space="preserve">Pertanyaan: </w:t>
      </w:r>
      <w:r>
        <w:t>Tuliskan entri jurnal otomatis saat dokumen Delivery Note disubmit untuk pengiriman barang jadi dengan HPP Rp7.500.000!</w:t>
      </w:r>
    </w:p>
    <w:p>
      <w:pPr>
        <w:spacing w:after="120"/>
      </w:pPr>
      <w:r>
        <w:rPr>
          <w:b/>
          <w:color w:val="268000"/>
        </w:rPr>
        <w:t xml:space="preserve">Jawaban Ringkas: </w:t>
      </w:r>
      <w:r>
        <w:t>Jurnal Otomatis Pengeluaran Barang Jadi (Delivery Note):</w:t>
      </w:r>
    </w:p>
    <w:tbl>
      <w:tblPr>
        <w:tblW w:type="auto" w:w="0"/>
        <w:jc w:val="center"/>
        <w:tblLayout w:type="fixed"/>
        <w:tblLook w:firstColumn="1" w:firstRow="1" w:lastColumn="0" w:lastRow="0" w:noHBand="0" w:noVBand="1" w:val="04A0"/>
      </w:tblPr>
      <w:tblGrid>
        <w:gridCol w:w="3120"/>
        <w:gridCol w:w="3120"/>
        <w:gridCol w:w="3120"/>
      </w:tblGrid>
      <w:tr>
        <w:tc>
          <w:tcPr>
            <w:tcW w:type="dxa" w:w="4608"/>
            <w:tcMar>
              <w:top w:w="80" w:type="dxa"/>
              <w:bottom w:w="80" w:type="dxa"/>
              <w:left w:w="120" w:type="dxa"/>
              <w:right w:w="120" w:type="dxa"/>
            </w:tcMar>
            <w:shd w:fill="1F4E79" w:val="clear"/>
          </w:tcPr>
          <w:p>
            <w:pPr>
              <w:spacing w:after="0"/>
              <w:jc w:val="left"/>
            </w:pPr>
            <w:r>
              <w:rPr>
                <w:b/>
                <w:color w:val="FFFFFF"/>
              </w:rPr>
              <w:t>Nama Akun</w:t>
            </w:r>
          </w:p>
        </w:tc>
        <w:tc>
          <w:tcPr>
            <w:tcW w:type="dxa" w:w="2160"/>
            <w:tcMar>
              <w:top w:w="80" w:type="dxa"/>
              <w:bottom w:w="80" w:type="dxa"/>
              <w:left w:w="120" w:type="dxa"/>
              <w:right w:w="120" w:type="dxa"/>
            </w:tcMar>
            <w:shd w:fill="1F4E79" w:val="clear"/>
          </w:tcPr>
          <w:p>
            <w:pPr>
              <w:spacing w:after="0"/>
              <w:jc w:val="center"/>
            </w:pPr>
            <w:r>
              <w:rPr>
                <w:b/>
                <w:color w:val="FFFFFF"/>
              </w:rPr>
              <w:t>Debet (IDR)</w:t>
            </w:r>
          </w:p>
        </w:tc>
        <w:tc>
          <w:tcPr>
            <w:tcW w:type="dxa" w:w="2160"/>
            <w:tcMar>
              <w:top w:w="80" w:type="dxa"/>
              <w:bottom w:w="80" w:type="dxa"/>
              <w:left w:w="120" w:type="dxa"/>
              <w:right w:w="120" w:type="dxa"/>
            </w:tcMar>
            <w:shd w:fill="1F4E79" w:val="clear"/>
          </w:tcPr>
          <w:p>
            <w:pPr>
              <w:spacing w:after="0"/>
              <w:jc w:val="center"/>
            </w:pPr>
            <w:r>
              <w:rPr>
                <w:b/>
                <w:color w:val="FFFFFF"/>
              </w:rPr>
              <w:t>Kredit (IDR)</w:t>
            </w:r>
          </w:p>
        </w:tc>
      </w:tr>
      <w:tr>
        <w:tc>
          <w:tcPr>
            <w:tcW w:type="dxa" w:w="4608"/>
            <w:tcMar>
              <w:top w:w="80" w:type="dxa"/>
              <w:bottom w:w="80" w:type="dxa"/>
              <w:left w:w="120" w:type="dxa"/>
              <w:right w:w="120" w:type="dxa"/>
            </w:tcMar>
            <w:shd w:fill="F2F2F2" w:val="clear"/>
          </w:tcPr>
          <w:p>
            <w:pPr>
              <w:spacing w:after="0"/>
            </w:pPr>
            <w:r>
              <w:t>5110 - Harga Pokok Penjualan (HPP) Barang Jadi</w:t>
            </w:r>
          </w:p>
        </w:tc>
        <w:tc>
          <w:tcPr>
            <w:tcW w:type="dxa" w:w="2160"/>
            <w:tcMar>
              <w:top w:w="80" w:type="dxa"/>
              <w:bottom w:w="80" w:type="dxa"/>
              <w:left w:w="120" w:type="dxa"/>
              <w:right w:w="120" w:type="dxa"/>
            </w:tcMar>
            <w:shd w:fill="F2F2F2" w:val="clear"/>
          </w:tcPr>
          <w:p>
            <w:pPr>
              <w:spacing w:after="0"/>
              <w:jc w:val="right"/>
            </w:pPr>
            <w:r>
              <w:t>7.500.000</w:t>
            </w:r>
          </w:p>
        </w:tc>
        <w:tc>
          <w:tcPr>
            <w:tcW w:type="dxa" w:w="2160"/>
            <w:tcMar>
              <w:top w:w="80" w:type="dxa"/>
              <w:bottom w:w="80" w:type="dxa"/>
              <w:left w:w="120" w:type="dxa"/>
              <w:right w:w="120" w:type="dxa"/>
            </w:tcMar>
            <w:shd w:fill="F2F2F2" w:val="clear"/>
          </w:tcPr>
          <w:p>
            <w:pPr>
              <w:spacing w:after="0"/>
              <w:jc w:val="right"/>
            </w:pPr>
            <w:r>
              <w:t>-</w:t>
            </w:r>
          </w:p>
        </w:tc>
      </w:tr>
      <w:tr>
        <w:tc>
          <w:tcPr>
            <w:tcW w:type="dxa" w:w="4608"/>
            <w:tcMar>
              <w:top w:w="80" w:type="dxa"/>
              <w:bottom w:w="80" w:type="dxa"/>
              <w:left w:w="120" w:type="dxa"/>
              <w:right w:w="120" w:type="dxa"/>
            </w:tcMar>
          </w:tcPr>
          <w:p>
            <w:pPr>
              <w:spacing w:after="0"/>
            </w:pPr>
            <w:r>
              <w:t>1134 - Persediaan Barang Jadi (Finished Goods)</w:t>
            </w:r>
          </w:p>
        </w:tc>
        <w:tc>
          <w:tcPr>
            <w:tcW w:type="dxa" w:w="2160"/>
            <w:tcMar>
              <w:top w:w="80" w:type="dxa"/>
              <w:bottom w:w="80" w:type="dxa"/>
              <w:left w:w="120" w:type="dxa"/>
              <w:right w:w="120" w:type="dxa"/>
            </w:tcMar>
          </w:tcPr>
          <w:p>
            <w:pPr>
              <w:spacing w:after="0"/>
              <w:jc w:val="right"/>
            </w:pPr>
            <w:r>
              <w:t>-</w:t>
            </w:r>
          </w:p>
        </w:tc>
        <w:tc>
          <w:tcPr>
            <w:tcW w:type="dxa" w:w="2160"/>
            <w:tcMar>
              <w:top w:w="80" w:type="dxa"/>
              <w:bottom w:w="80" w:type="dxa"/>
              <w:left w:w="120" w:type="dxa"/>
              <w:right w:w="120" w:type="dxa"/>
            </w:tcMar>
          </w:tcPr>
          <w:p>
            <w:pPr>
              <w:spacing w:after="0"/>
              <w:jc w:val="right"/>
            </w:pPr>
            <w:r>
              <w:t>7.500.000</w:t>
            </w:r>
          </w:p>
        </w:tc>
      </w:tr>
    </w:tbl>
    <w:p>
      <w:pPr>
        <w:spacing w:before="80" w:after="40"/>
      </w:pPr>
    </w:p>
    <w:p>
      <w:pPr>
        <w:spacing w:before="40" w:after="240"/>
      </w:pPr>
      <w:r>
        <w:rPr>
          <w:b/>
          <w:color w:val="B45000"/>
        </w:rPr>
        <w:t>Pembahasan Detail &amp; Analisis Sistem:</w:t>
        <w:br/>
      </w:r>
      <w:r>
        <w:rPr>
          <w:color w:val="3C3C3C"/>
          <w:sz w:val="20"/>
        </w:rPr>
        <w:t>Penjelasan Akuntansi: Berdasarkan matching principle (prinsip penandingan biaya dan pendapatan), saat barang diserahkan kepada pelanggan melalui Delivery Note, aset 'Persediaan Barang Jadi' berkurang di sisi Kredit dan diakui secara resmi sebagai 'Harga Pokok Penjualan (HPP)' di sisi Debet pada Laporan Laba Rugi.</w:t>
      </w:r>
    </w:p>
    <w:p>
      <w:pPr>
        <w:spacing w:before="320" w:after="160"/>
      </w:pPr>
      <w:r>
        <w:rPr>
          <w:rFonts w:ascii="Calibri" w:hAnsi="Calibri"/>
          <w:b/>
          <w:color w:val="1F4E79"/>
          <w:sz w:val="26"/>
        </w:rPr>
        <w:t>MODUL 5: PENGEMBANGAN &amp; INTEGRASI AI (NOTEBOOKLM)</w:t>
      </w:r>
    </w:p>
    <w:p>
      <w:pPr>
        <w:spacing w:before="200" w:after="80"/>
      </w:pPr>
      <w:r>
        <w:rPr>
          <w:rFonts w:ascii="Calibri" w:hAnsi="Calibri"/>
          <w:b/>
          <w:color w:val="2E75B6"/>
          <w:sz w:val="22"/>
        </w:rPr>
        <w:t>Soal Nomor 20</w:t>
      </w:r>
    </w:p>
    <w:p>
      <w:pPr>
        <w:spacing w:after="80"/>
      </w:pPr>
      <w:r>
        <w:rPr>
          <w:b/>
        </w:rPr>
        <w:t xml:space="preserve">Pertanyaan: </w:t>
      </w:r>
      <w:r>
        <w:t>Bagaimana cara memanfaatkan integrasi ERPNext dengan NotebookLM untuk keperluan audit akuntansi dan analisis biaya manufaktur?</w:t>
      </w:r>
    </w:p>
    <w:p>
      <w:pPr>
        <w:spacing w:after="120"/>
      </w:pPr>
      <w:r>
        <w:rPr>
          <w:b/>
          <w:color w:val="268000"/>
        </w:rPr>
        <w:t xml:space="preserve">Jawaban Ringkas: </w:t>
      </w:r>
      <w:r>
        <w:t>Alur integrasi dilakukan dengan mengekspor data laporan akuntansi &amp; operasional dari ERPNext (format CSV/Excel/Word) lalu mengunggahnya ke NotebookLM sebagai sumber grounding AI.</w:t>
      </w:r>
    </w:p>
    <w:p>
      <w:pPr>
        <w:spacing w:before="40" w:after="240"/>
      </w:pPr>
      <w:r>
        <w:rPr>
          <w:b/>
          <w:color w:val="B45000"/>
        </w:rPr>
        <w:t>Pembahasan Detail &amp; Analisis Sistem:</w:t>
        <w:br/>
      </w:r>
      <w:r>
        <w:rPr>
          <w:color w:val="3C3C3C"/>
          <w:sz w:val="20"/>
        </w:rPr>
        <w:t>Mekanisme integrasi ERPNext dan NotebookLM:</w:t>
        <w:br/>
        <w:t>1. Eksportasi Data: Laporan General Ledger, Stock Ledger, BOM Costing, atau Laporan Rincian Variansi Stok diekspor dari ERPNext.</w:t>
        <w:br/>
        <w:t>2. Ingesti Sumber: File laporan diunggah ke NotebookLM sebagai sumber data (sources).</w:t>
        <w:br/>
        <w:t>3. Analisis AI Grounded: Pengguna melakukan kueri analitis kepada NotebookLM untuk melacak anomali pencatatan, membandingkan efisiensi antar-BOM, menyusun summary laporan manajemen, atau membangkitkan kuis dan panduan audio tanpa risiko halusinasi karena AI terkunci pada data aktual ERPNext.</w:t>
      </w:r>
    </w:p>
    <w:p>
      <w:pPr>
        <w:spacing w:before="200" w:after="80"/>
      </w:pPr>
      <w:r>
        <w:rPr>
          <w:rFonts w:ascii="Calibri" w:hAnsi="Calibri"/>
          <w:b/>
          <w:color w:val="2E75B6"/>
          <w:sz w:val="22"/>
        </w:rPr>
        <w:t>Soal Nomor 21</w:t>
      </w:r>
    </w:p>
    <w:p>
      <w:pPr>
        <w:spacing w:after="80"/>
      </w:pPr>
      <w:r>
        <w:rPr>
          <w:b/>
        </w:rPr>
        <w:t xml:space="preserve">Pertanyaan: </w:t>
      </w:r>
      <w:r>
        <w:t>Berikan contoh prompt engineering yang efektif saat menganalisis Laporan Variansi Stok manufaktur ERPNext di NotebookLM!</w:t>
      </w:r>
    </w:p>
    <w:p>
      <w:pPr>
        <w:spacing w:after="120"/>
      </w:pPr>
      <w:r>
        <w:rPr>
          <w:b/>
          <w:color w:val="268000"/>
        </w:rPr>
        <w:t xml:space="preserve">Jawaban Ringkas: </w:t>
      </w:r>
      <w:r>
        <w:t>Prompt yang efektif harus mendefinisikan peran, fokus analisis, parameter perbandingan, dan format output yang diinginkan.</w:t>
      </w:r>
    </w:p>
    <w:p>
      <w:pPr>
        <w:spacing w:before="40" w:after="240"/>
      </w:pPr>
      <w:r>
        <w:rPr>
          <w:b/>
          <w:color w:val="B45000"/>
        </w:rPr>
        <w:t>Pembahasan Detail &amp; Analisis Sistem:</w:t>
        <w:br/>
      </w:r>
      <w:r>
        <w:rPr>
          <w:color w:val="3C3C3C"/>
          <w:sz w:val="20"/>
        </w:rPr>
        <w:t>Contoh Prompt Komprehensif:</w:t>
        <w:br/>
        <w:t>'Berperanlah sebagai Senior Cost Accountant &amp; Auditor Sistem ERP. Berdasarkan data Stock Ledger dan BOM Costing yang saya unggah dari ERPNext, lakukan analisis variansi biaya bahan baku dengan ketentuan:</w:t>
        <w:br/>
        <w:t>1. Identifikasi 3 bahan baku dengan persentase selisih (variance) terbesar antara standar BOM dan realisasi pemakaian aktual di Stock Entry.</w:t>
        <w:br/>
        <w:t>2. Hitung dampak finansial selisih tersebut terhadap kenaikan Total HPP Produk Jadi.</w:t>
        <w:br/>
        <w:t>3. Berikan rekomendasi teknis untuk perbaikan setting scrap percentage pada Master BOM di ERPNext.'</w:t>
        <w:br/>
        <w:br/>
        <w:t>Prompt ini memandu AI untuk menghasilkan output yang actionable, presisi, dan langsung merujuk pada parameter konfigurasi sistem ERPNext.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Modul Evaluasi ERPNext &amp; Akuntansi Manufaktur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Bahan Ajar &amp; Evaluasi Pembelajaran ERPNext Manufaktur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