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Конспект:</w:t>
      </w:r>
    </w:p>
    <w:p>
      <w:pPr>
        <w:pStyle w:val="BodyText"/>
      </w:pPr>
      <w:r>
        <w:rPr>
          <w:b/>
        </w:rPr>
        <w:t xml:space="preserve">Общественное движение в России во второй четверти XIX века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Направления общественного движения:</w:t>
      </w:r>
    </w:p>
    <w:p>
      <w:pPr>
        <w:numPr>
          <w:ilvl w:val="0"/>
          <w:numId w:val="1002"/>
        </w:numPr>
        <w:pStyle w:val="Compact"/>
      </w:pPr>
      <w:r>
        <w:t xml:space="preserve">консервативное;</w:t>
      </w:r>
    </w:p>
    <w:p>
      <w:pPr>
        <w:numPr>
          <w:ilvl w:val="0"/>
          <w:numId w:val="1002"/>
        </w:numPr>
        <w:pStyle w:val="Compact"/>
      </w:pPr>
      <w:r>
        <w:t xml:space="preserve">либеральное;</w:t>
      </w:r>
    </w:p>
    <w:p>
      <w:pPr>
        <w:numPr>
          <w:ilvl w:val="0"/>
          <w:numId w:val="1002"/>
        </w:numPr>
        <w:pStyle w:val="Compact"/>
      </w:pPr>
      <w:r>
        <w:t xml:space="preserve">радикальное.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Консерватизм:</w:t>
      </w:r>
    </w:p>
    <w:p>
      <w:pPr>
        <w:numPr>
          <w:ilvl w:val="0"/>
          <w:numId w:val="1004"/>
        </w:numPr>
        <w:pStyle w:val="Compact"/>
      </w:pPr>
      <w:r>
        <w:t xml:space="preserve">идеолог — Сергей Семёнович Уваров;</w:t>
      </w:r>
    </w:p>
    <w:p>
      <w:pPr>
        <w:numPr>
          <w:ilvl w:val="0"/>
          <w:numId w:val="1004"/>
        </w:numPr>
        <w:pStyle w:val="Compact"/>
      </w:pPr>
      <w:r>
        <w:t xml:space="preserve">теория официальной народности основана на трёх принципах: самодержавие, православие и народность;</w:t>
      </w:r>
    </w:p>
    <w:p>
      <w:pPr>
        <w:numPr>
          <w:ilvl w:val="0"/>
          <w:numId w:val="1004"/>
        </w:numPr>
        <w:pStyle w:val="Compact"/>
      </w:pPr>
      <w:r>
        <w:t xml:space="preserve">сторонники: Николай Герасимович Устрялов, Михаил Петрович Погодин, Фаддей Венедиктович Булгарин, Николай Иванович Греч, Михаил Николаевич Загоскин;</w:t>
      </w:r>
    </w:p>
    <w:p>
      <w:pPr>
        <w:numPr>
          <w:ilvl w:val="0"/>
          <w:numId w:val="1004"/>
        </w:numPr>
        <w:pStyle w:val="Compact"/>
      </w:pPr>
      <w:r>
        <w:t xml:space="preserve">считали, что социальные и политические реформы в России не нужны и только вредят основам русской жизни.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Либерализм:</w:t>
      </w:r>
    </w:p>
    <w:p>
      <w:pPr>
        <w:numPr>
          <w:ilvl w:val="0"/>
          <w:numId w:val="1006"/>
        </w:numPr>
        <w:pStyle w:val="Compact"/>
      </w:pPr>
      <w:r>
        <w:t xml:space="preserve">основан на расширении естественных прав человека (свобода совести, неприкосновенность частной жизни, равенство всех перед законом);</w:t>
      </w:r>
    </w:p>
    <w:p>
      <w:pPr>
        <w:numPr>
          <w:ilvl w:val="0"/>
          <w:numId w:val="1006"/>
        </w:numPr>
        <w:pStyle w:val="Compact"/>
      </w:pPr>
      <w:r>
        <w:t xml:space="preserve">выступал за общество, где государство — не единственный регулятор общественных отношений;</w:t>
      </w:r>
    </w:p>
    <w:p>
      <w:pPr>
        <w:numPr>
          <w:ilvl w:val="0"/>
          <w:numId w:val="1006"/>
        </w:numPr>
        <w:pStyle w:val="Compact"/>
      </w:pPr>
      <w:r>
        <w:t xml:space="preserve">разделился на два лагеря: западников и славянофилов.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Славянофильство:</w:t>
      </w:r>
    </w:p>
    <w:p>
      <w:pPr>
        <w:numPr>
          <w:ilvl w:val="0"/>
          <w:numId w:val="1008"/>
        </w:numPr>
        <w:pStyle w:val="Compact"/>
      </w:pPr>
      <w:r>
        <w:t xml:space="preserve">религиозно-философское течение общественной мысли;</w:t>
      </w:r>
    </w:p>
    <w:p>
      <w:pPr>
        <w:numPr>
          <w:ilvl w:val="0"/>
          <w:numId w:val="1008"/>
        </w:numPr>
        <w:pStyle w:val="Compact"/>
      </w:pPr>
      <w:r>
        <w:t xml:space="preserve">выступало за развитие России по самобытному пути;</w:t>
      </w:r>
    </w:p>
    <w:p>
      <w:pPr>
        <w:numPr>
          <w:ilvl w:val="0"/>
          <w:numId w:val="1008"/>
        </w:numPr>
        <w:pStyle w:val="Compact"/>
      </w:pPr>
      <w:r>
        <w:t xml:space="preserve">представители: братья Аксаковы и Кириевские, Юрий Фёдорович Самарин, Александр Иванович Кошелев и другие;</w:t>
      </w:r>
    </w:p>
    <w:p>
      <w:pPr>
        <w:numPr>
          <w:ilvl w:val="0"/>
          <w:numId w:val="1008"/>
        </w:numPr>
        <w:pStyle w:val="Compact"/>
      </w:pPr>
      <w:r>
        <w:t xml:space="preserve">основоположник идеи — историк, публицист и богослов Александр Степанович Хомяков;</w:t>
      </w:r>
    </w:p>
    <w:p>
      <w:pPr>
        <w:numPr>
          <w:ilvl w:val="0"/>
          <w:numId w:val="1008"/>
        </w:numPr>
        <w:pStyle w:val="Compact"/>
      </w:pPr>
      <w:r>
        <w:t xml:space="preserve">выступали за сохранение самодержавия, но считали необходимым учредить при монархе орган народного представительства с совещательными функциями (например, земские соборы).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Западники:</w:t>
      </w:r>
    </w:p>
    <w:p>
      <w:pPr>
        <w:numPr>
          <w:ilvl w:val="0"/>
          <w:numId w:val="1010"/>
        </w:numPr>
        <w:pStyle w:val="Compact"/>
      </w:pPr>
      <w:r>
        <w:t xml:space="preserve">видели в Петре I правителя, повернувшего Россию к её подлинному предназначению — быть вместе с Европой;</w:t>
      </w:r>
    </w:p>
    <w:p>
      <w:pPr>
        <w:numPr>
          <w:ilvl w:val="0"/>
          <w:numId w:val="1010"/>
        </w:numPr>
        <w:pStyle w:val="Compact"/>
      </w:pPr>
      <w:r>
        <w:t xml:space="preserve">считали, что Россия должна двигаться в общеевропейском направлении;</w:t>
      </w:r>
    </w:p>
    <w:p>
      <w:pPr>
        <w:numPr>
          <w:ilvl w:val="0"/>
          <w:numId w:val="1010"/>
        </w:numPr>
        <w:pStyle w:val="Compact"/>
      </w:pPr>
      <w:r>
        <w:t xml:space="preserve">предлагали сменить самодержавие на конституционную монархию, расширять права всех сословий, развивать рыночную экономику и ввести парламент как орган волеизъявления народа.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Студенческие кружки 1820–30-х годов:</w:t>
      </w:r>
    </w:p>
    <w:p>
      <w:pPr>
        <w:numPr>
          <w:ilvl w:val="0"/>
          <w:numId w:val="1012"/>
        </w:numPr>
        <w:pStyle w:val="Compact"/>
      </w:pPr>
      <w:r>
        <w:t xml:space="preserve">существовали те, кто считал, что единственный способ покончить с самодержавием — это революция;</w:t>
      </w:r>
    </w:p>
    <w:p>
      <w:pPr>
        <w:numPr>
          <w:ilvl w:val="0"/>
          <w:numId w:val="1012"/>
        </w:numPr>
        <w:pStyle w:val="Compact"/>
      </w:pPr>
      <w:r>
        <w:t xml:space="preserve">революционные идеи не были распространены в России, и Николай I сделал всё возможное, чтобы не дать им развиться;</w:t>
      </w:r>
    </w:p>
    <w:p>
      <w:pPr>
        <w:numPr>
          <w:ilvl w:val="0"/>
          <w:numId w:val="1012"/>
        </w:numPr>
        <w:pStyle w:val="Compact"/>
      </w:pPr>
      <w:r>
        <w:t xml:space="preserve">распространение идей происходило через тайные собрания единомышленников или политические и революционные кружки.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Примеры кружков:</w:t>
      </w:r>
    </w:p>
    <w:p>
      <w:pPr>
        <w:numPr>
          <w:ilvl w:val="0"/>
          <w:numId w:val="1014"/>
        </w:numPr>
        <w:pStyle w:val="Compact"/>
      </w:pPr>
      <w:r>
        <w:t xml:space="preserve">кружок братьев Критских (1826–1827);</w:t>
      </w:r>
    </w:p>
    <w:p>
      <w:pPr>
        <w:numPr>
          <w:ilvl w:val="0"/>
          <w:numId w:val="1014"/>
        </w:numPr>
        <w:pStyle w:val="Compact"/>
      </w:pPr>
      <w:r>
        <w:t xml:space="preserve">кружок Александра Ивановича Герцена и Николая Платоновича Огарёва (1831–1834);</w:t>
      </w:r>
    </w:p>
    <w:p>
      <w:pPr>
        <w:numPr>
          <w:ilvl w:val="0"/>
          <w:numId w:val="1014"/>
        </w:numPr>
        <w:pStyle w:val="Compact"/>
      </w:pPr>
      <w:r>
        <w:t xml:space="preserve">кружок Михаила Васильевича Петрашевского (1845–1849).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0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0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0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0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0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0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0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2025-04-17T13:36:37Z</dcterms:created>
  <dcterms:modified xsi:type="dcterms:W3CDTF">2025-04-17T13:36:37Z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