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B54C1" w14:textId="77777777" w:rsidR="006B2219" w:rsidRPr="00403EF5" w:rsidRDefault="00000000">
      <w:pPr>
        <w:spacing w:after="100"/>
        <w:jc w:val="center"/>
        <w:rPr>
          <w:rFonts w:ascii="David" w:hAnsi="David" w:cs="David"/>
          <w:sz w:val="24"/>
          <w:szCs w:val="24"/>
        </w:rPr>
      </w:pPr>
      <w:r w:rsidRPr="00403EF5">
        <w:rPr>
          <w:rFonts w:ascii="David" w:hAnsi="David" w:cs="David"/>
          <w:b/>
          <w:bCs/>
          <w:sz w:val="24"/>
          <w:szCs w:val="24"/>
        </w:rPr>
        <w:t>Academy Nova Course Cancellation Prediction</w:t>
      </w:r>
    </w:p>
    <w:p w14:paraId="4ACF15A7" w14:textId="77777777" w:rsidR="006B2219" w:rsidRPr="00403EF5" w:rsidRDefault="00000000">
      <w:pPr>
        <w:spacing w:after="300"/>
        <w:jc w:val="center"/>
        <w:rPr>
          <w:rFonts w:ascii="David" w:hAnsi="David" w:cs="David"/>
          <w:sz w:val="24"/>
          <w:szCs w:val="24"/>
        </w:rPr>
      </w:pPr>
      <w:r w:rsidRPr="00403EF5">
        <w:rPr>
          <w:rFonts w:ascii="David" w:hAnsi="David" w:cs="David"/>
          <w:sz w:val="24"/>
          <w:szCs w:val="24"/>
        </w:rPr>
        <w:t>Final Project Report — Group 51</w:t>
      </w:r>
    </w:p>
    <w:p w14:paraId="057E8196" w14:textId="77777777" w:rsidR="006B2219" w:rsidRPr="00403EF5" w:rsidRDefault="00000000">
      <w:pPr>
        <w:spacing w:after="150" w:line="276" w:lineRule="auto"/>
        <w:rPr>
          <w:rFonts w:ascii="David" w:hAnsi="David" w:cs="David"/>
          <w:sz w:val="24"/>
          <w:szCs w:val="24"/>
        </w:rPr>
      </w:pPr>
      <w:r w:rsidRPr="00403EF5">
        <w:rPr>
          <w:rFonts w:ascii="David" w:hAnsi="David" w:cs="David"/>
          <w:b/>
          <w:bCs/>
          <w:sz w:val="24"/>
          <w:szCs w:val="24"/>
        </w:rPr>
        <w:t>Course: Introduction to Machine Learning</w:t>
      </w:r>
    </w:p>
    <w:p w14:paraId="613E1827"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Project: Nova Academy Course Cancellation Prediction</w:t>
      </w:r>
    </w:p>
    <w:p w14:paraId="26318702"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Group: 51</w:t>
      </w:r>
    </w:p>
    <w:p w14:paraId="55150E59" w14:textId="601B6C71" w:rsidR="006B2219" w:rsidRPr="00403EF5" w:rsidRDefault="00000000">
      <w:pPr>
        <w:spacing w:after="150"/>
        <w:rPr>
          <w:rFonts w:ascii="David" w:hAnsi="David" w:cs="David"/>
          <w:sz w:val="24"/>
          <w:szCs w:val="24"/>
        </w:rPr>
      </w:pPr>
      <w:r w:rsidRPr="00403EF5">
        <w:rPr>
          <w:rFonts w:ascii="David" w:hAnsi="David" w:cs="David"/>
          <w:b/>
          <w:bCs/>
          <w:color w:val="C0392B"/>
          <w:sz w:val="24"/>
          <w:szCs w:val="24"/>
        </w:rPr>
        <w:t xml:space="preserve">Submitted by: [Mellissa Ghandour — ID: </w:t>
      </w:r>
      <w:r w:rsidR="00E02FCE" w:rsidRPr="00403EF5">
        <w:rPr>
          <w:rFonts w:ascii="David" w:hAnsi="David" w:cs="David"/>
          <w:b/>
          <w:bCs/>
          <w:color w:val="C0392B"/>
          <w:sz w:val="24"/>
          <w:szCs w:val="24"/>
        </w:rPr>
        <w:t>326541521</w:t>
      </w:r>
      <w:r w:rsidRPr="00403EF5">
        <w:rPr>
          <w:rFonts w:ascii="David" w:hAnsi="David" w:cs="David"/>
          <w:b/>
          <w:bCs/>
          <w:color w:val="C0392B"/>
          <w:sz w:val="24"/>
          <w:szCs w:val="24"/>
        </w:rPr>
        <w:t>]  |  [</w:t>
      </w:r>
      <w:r w:rsidR="00E02FCE" w:rsidRPr="00403EF5">
        <w:rPr>
          <w:rFonts w:ascii="David" w:hAnsi="David" w:cs="David"/>
          <w:b/>
          <w:bCs/>
          <w:color w:val="C0392B"/>
          <w:sz w:val="24"/>
          <w:szCs w:val="24"/>
        </w:rPr>
        <w:t>Ali Suliman</w:t>
      </w:r>
      <w:r w:rsidRPr="00403EF5">
        <w:rPr>
          <w:rFonts w:ascii="David" w:hAnsi="David" w:cs="David"/>
          <w:b/>
          <w:bCs/>
          <w:color w:val="C0392B"/>
          <w:sz w:val="24"/>
          <w:szCs w:val="24"/>
        </w:rPr>
        <w:t xml:space="preserve"> — ID: </w:t>
      </w:r>
      <w:r w:rsidR="00E02FCE" w:rsidRPr="00403EF5">
        <w:rPr>
          <w:rFonts w:ascii="David" w:hAnsi="David" w:cs="David"/>
          <w:b/>
          <w:bCs/>
          <w:color w:val="C0392B"/>
          <w:sz w:val="24"/>
          <w:szCs w:val="24"/>
        </w:rPr>
        <w:t>214247900</w:t>
      </w:r>
      <w:r w:rsidRPr="00403EF5">
        <w:rPr>
          <w:rFonts w:ascii="David" w:hAnsi="David" w:cs="David"/>
          <w:b/>
          <w:bCs/>
          <w:color w:val="C0392B"/>
          <w:sz w:val="24"/>
          <w:szCs w:val="24"/>
        </w:rPr>
        <w:t>]</w:t>
      </w:r>
    </w:p>
    <w:p w14:paraId="23D45622"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Metric: ROC-AUC</w:t>
      </w:r>
    </w:p>
    <w:p w14:paraId="23F91C1D" w14:textId="77777777" w:rsidR="006B2219" w:rsidRPr="00403EF5" w:rsidRDefault="00000000">
      <w:pPr>
        <w:spacing w:after="150" w:line="276" w:lineRule="auto"/>
        <w:rPr>
          <w:rFonts w:ascii="David" w:hAnsi="David" w:cs="David"/>
          <w:sz w:val="24"/>
          <w:szCs w:val="24"/>
        </w:rPr>
      </w:pPr>
      <w:r w:rsidRPr="00403EF5">
        <w:rPr>
          <w:rFonts w:ascii="David" w:hAnsi="David" w:cs="David"/>
          <w:b/>
          <w:bCs/>
          <w:sz w:val="24"/>
          <w:szCs w:val="24"/>
        </w:rPr>
        <w:t>Best known public leaderboard AUC: 0.889030 (2nd place)</w:t>
      </w:r>
    </w:p>
    <w:p w14:paraId="26B83C22" w14:textId="77777777" w:rsidR="006B2219" w:rsidRPr="00403EF5" w:rsidRDefault="00000000">
      <w:pPr>
        <w:pStyle w:val="Heading1"/>
        <w:spacing w:before="300" w:after="150"/>
        <w:rPr>
          <w:rFonts w:ascii="David" w:hAnsi="David" w:cs="David"/>
          <w:sz w:val="24"/>
          <w:szCs w:val="24"/>
        </w:rPr>
      </w:pPr>
      <w:r w:rsidRPr="00403EF5">
        <w:rPr>
          <w:rFonts w:ascii="David" w:hAnsi="David" w:cs="David"/>
          <w:sz w:val="24"/>
          <w:szCs w:val="24"/>
        </w:rPr>
        <w:t>1. Executive Summary</w:t>
      </w:r>
    </w:p>
    <w:p w14:paraId="04E7B5A7"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Nova Academy wants to predict the probability that a client will cancel or drop a course registration before the course starts. This is a binary classification problem where each registration receives a cancellation probability.</w:t>
      </w:r>
    </w:p>
    <w:p w14:paraId="48307E37"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We followed a full machine-learning workflow based on CRISP-DM: business understanding, data exploration, preprocessing, feature engineering, model training, evaluation, explainability, and final submission generation.</w:t>
      </w:r>
    </w:p>
    <w:p w14:paraId="0766E6D1"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final submitted prediction file contains two columns: Client_ID and Drop_Probability. The final file was validated to ensure correct row count, no missing predictions, no duplicate IDs, valid probability values, and exact preservation of the test-set Client_ID order.</w:t>
      </w:r>
    </w:p>
    <w:p w14:paraId="11B18372"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Our best known public leaderboard result for Group 51 was AUC = 0.889030, placing the group in 2nd place on the leaderboard.</w:t>
      </w:r>
    </w:p>
    <w:p w14:paraId="620C63A2" w14:textId="77777777" w:rsidR="006B2219" w:rsidRPr="00403EF5" w:rsidRDefault="00000000">
      <w:pPr>
        <w:pStyle w:val="Heading1"/>
        <w:spacing w:before="300" w:after="150"/>
        <w:rPr>
          <w:rFonts w:ascii="David" w:hAnsi="David" w:cs="David"/>
          <w:sz w:val="24"/>
          <w:szCs w:val="24"/>
        </w:rPr>
      </w:pPr>
      <w:r w:rsidRPr="00403EF5">
        <w:rPr>
          <w:rFonts w:ascii="David" w:hAnsi="David" w:cs="David"/>
          <w:sz w:val="24"/>
          <w:szCs w:val="24"/>
        </w:rPr>
        <w:t>2. Business Understanding</w:t>
      </w:r>
    </w:p>
    <w:p w14:paraId="10573909"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business goal is to help Nova Academy identify registrations with high cancellation risk. Accurate cancellation probabilities can support operational decisions such as proactive customer support, better resource planning, course capacity management, and reducing financial loss from cancellations.</w:t>
      </w:r>
    </w:p>
    <w:p w14:paraId="7D33D96B"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evaluation metric is ROC-AUC. This metric is appropriate because the goal is not only to classify each client using a fixed threshold, but to rank clients by cancellation risk. The final submission therefore contains probabilities rather than hard labels.</w:t>
      </w:r>
    </w:p>
    <w:p w14:paraId="4928E531" w14:textId="77777777" w:rsidR="006B2219" w:rsidRPr="00403EF5" w:rsidRDefault="00000000">
      <w:pPr>
        <w:pStyle w:val="Heading1"/>
        <w:spacing w:before="300" w:after="150"/>
        <w:rPr>
          <w:rFonts w:ascii="David" w:hAnsi="David" w:cs="David"/>
          <w:sz w:val="24"/>
          <w:szCs w:val="24"/>
        </w:rPr>
      </w:pPr>
      <w:r w:rsidRPr="00403EF5">
        <w:rPr>
          <w:rFonts w:ascii="David" w:hAnsi="David" w:cs="David"/>
          <w:sz w:val="24"/>
          <w:szCs w:val="24"/>
        </w:rPr>
        <w:t>3. Data Understanding and EDA</w:t>
      </w:r>
    </w:p>
    <w:p w14:paraId="40ED644A"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training set contains 63,464 rows and 29 columns, including the target variable Dropped_Course. The test set contains 15,866 rows and 28 columns, with the same features but without the target.</w:t>
      </w:r>
    </w:p>
    <w:p w14:paraId="6E2D3C67"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target distribution showed moderate class imbalance: approximately 41.4% of the training registrations were cancelled and 58.6% were not cancelled. Because of this, accuracy alone would be less informative than ROC-AUC.</w:t>
      </w:r>
    </w:p>
    <w:p w14:paraId="58732D3C" w14:textId="77777777" w:rsidR="006B2219" w:rsidRPr="00403EF5" w:rsidRDefault="00000000">
      <w:pPr>
        <w:spacing w:before="100" w:after="60"/>
        <w:jc w:val="center"/>
        <w:rPr>
          <w:rFonts w:ascii="David" w:hAnsi="David" w:cs="David"/>
          <w:sz w:val="24"/>
          <w:szCs w:val="24"/>
        </w:rPr>
      </w:pPr>
      <w:r w:rsidRPr="00403EF5">
        <w:rPr>
          <w:rFonts w:ascii="David" w:hAnsi="David" w:cs="David"/>
          <w:noProof/>
          <w:sz w:val="24"/>
          <w:szCs w:val="24"/>
        </w:rPr>
        <w:lastRenderedPageBreak/>
        <w:drawing>
          <wp:inline distT="0" distB="0" distL="0" distR="0" wp14:anchorId="2E001408" wp14:editId="540D3DDD">
            <wp:extent cx="2667000" cy="213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667000" cy="2133600"/>
                    </a:xfrm>
                    <a:prstGeom prst="rect">
                      <a:avLst/>
                    </a:prstGeom>
                  </pic:spPr>
                </pic:pic>
              </a:graphicData>
            </a:graphic>
          </wp:inline>
        </w:drawing>
      </w:r>
    </w:p>
    <w:p w14:paraId="559B2D57" w14:textId="77777777" w:rsidR="006B2219" w:rsidRPr="00403EF5" w:rsidRDefault="00000000">
      <w:pPr>
        <w:spacing w:after="250"/>
        <w:jc w:val="center"/>
        <w:rPr>
          <w:rFonts w:ascii="David" w:hAnsi="David" w:cs="David"/>
          <w:sz w:val="24"/>
          <w:szCs w:val="24"/>
        </w:rPr>
      </w:pPr>
      <w:r w:rsidRPr="00403EF5">
        <w:rPr>
          <w:rFonts w:ascii="David" w:hAnsi="David" w:cs="David"/>
          <w:i/>
          <w:iCs/>
          <w:color w:val="555555"/>
          <w:sz w:val="24"/>
          <w:szCs w:val="24"/>
        </w:rPr>
        <w:t>Figure 1. Target distribution in the training set (Dropped_Course).</w:t>
      </w:r>
    </w:p>
    <w:p w14:paraId="3D273494"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Exploratory data analysis included numeric distributions, categorical distributions, target relationships, missing-value patterns, and date-based trends. The correlation heatmap below shows the relationships among numeric features, which informed which engineered ratios were likely to add independent signal.</w:t>
      </w:r>
    </w:p>
    <w:p w14:paraId="2418E0AB" w14:textId="77777777" w:rsidR="006B2219" w:rsidRPr="00403EF5" w:rsidRDefault="00000000">
      <w:pPr>
        <w:spacing w:before="100" w:after="60"/>
        <w:jc w:val="center"/>
        <w:rPr>
          <w:rFonts w:ascii="David" w:hAnsi="David" w:cs="David"/>
          <w:sz w:val="24"/>
          <w:szCs w:val="24"/>
        </w:rPr>
      </w:pPr>
      <w:r w:rsidRPr="00403EF5">
        <w:rPr>
          <w:rFonts w:ascii="David" w:hAnsi="David" w:cs="David"/>
          <w:noProof/>
          <w:sz w:val="24"/>
          <w:szCs w:val="24"/>
        </w:rPr>
        <w:drawing>
          <wp:inline distT="0" distB="0" distL="0" distR="0" wp14:anchorId="1B0B21A7" wp14:editId="1516B965">
            <wp:extent cx="3933825" cy="3152775"/>
            <wp:effectExtent l="0" t="0" r="0" b="0"/>
            <wp:docPr id="358176447" name="Picture 358176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933825" cy="3152775"/>
                    </a:xfrm>
                    <a:prstGeom prst="rect">
                      <a:avLst/>
                    </a:prstGeom>
                  </pic:spPr>
                </pic:pic>
              </a:graphicData>
            </a:graphic>
          </wp:inline>
        </w:drawing>
      </w:r>
    </w:p>
    <w:p w14:paraId="696FBDDC" w14:textId="77777777" w:rsidR="006B2219" w:rsidRPr="00403EF5" w:rsidRDefault="00000000">
      <w:pPr>
        <w:spacing w:after="250"/>
        <w:jc w:val="center"/>
        <w:rPr>
          <w:rFonts w:ascii="David" w:hAnsi="David" w:cs="David"/>
          <w:sz w:val="24"/>
          <w:szCs w:val="24"/>
        </w:rPr>
      </w:pPr>
      <w:r w:rsidRPr="00403EF5">
        <w:rPr>
          <w:rFonts w:ascii="David" w:hAnsi="David" w:cs="David"/>
          <w:i/>
          <w:iCs/>
          <w:color w:val="555555"/>
          <w:sz w:val="24"/>
          <w:szCs w:val="24"/>
        </w:rPr>
        <w:t>Figure 2. Correlation heatmap of numeric features (training set).</w:t>
      </w:r>
    </w:p>
    <w:p w14:paraId="7ED39488"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A key finding was that the train and test sets are temporally shifted. The training dates range from 2015-07-01 to 2017-04-26, while the test set starts around 2017-04-26 and continues until 2017-08-31. This suggests that random cross-validation may be optimistic, so a time-aware validation split was also evaluated (Section 6).</w:t>
      </w:r>
    </w:p>
    <w:p w14:paraId="15F63007" w14:textId="77777777" w:rsidR="006B2219" w:rsidRPr="00403EF5" w:rsidRDefault="00000000">
      <w:pPr>
        <w:pStyle w:val="Heading1"/>
        <w:spacing w:before="300" w:after="150"/>
        <w:rPr>
          <w:rFonts w:ascii="David" w:hAnsi="David" w:cs="David"/>
          <w:sz w:val="24"/>
          <w:szCs w:val="24"/>
        </w:rPr>
      </w:pPr>
      <w:r w:rsidRPr="00403EF5">
        <w:rPr>
          <w:rFonts w:ascii="David" w:hAnsi="David" w:cs="David"/>
          <w:sz w:val="24"/>
          <w:szCs w:val="24"/>
        </w:rPr>
        <w:t>4. Missing Values and Preprocessing</w:t>
      </w:r>
    </w:p>
    <w:p w14:paraId="209D315F"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lastRenderedPageBreak/>
        <w:t>Several columns contained missing values. Company_ID had very high missingness, while Agent_ID, Registration_Days_Before, Requested_Lab_Config, Physical_Course_Kits, and several categorical columns also had missing values.</w:t>
      </w:r>
    </w:p>
    <w:p w14:paraId="497BBF29" w14:textId="77777777" w:rsidR="006B2219" w:rsidRPr="00403EF5" w:rsidRDefault="00000000">
      <w:pPr>
        <w:spacing w:before="100" w:after="60"/>
        <w:jc w:val="center"/>
        <w:rPr>
          <w:rFonts w:ascii="David" w:hAnsi="David" w:cs="David"/>
          <w:sz w:val="24"/>
          <w:szCs w:val="24"/>
        </w:rPr>
      </w:pPr>
      <w:r w:rsidRPr="00403EF5">
        <w:rPr>
          <w:rFonts w:ascii="David" w:hAnsi="David" w:cs="David"/>
          <w:noProof/>
          <w:sz w:val="24"/>
          <w:szCs w:val="24"/>
        </w:rPr>
        <w:drawing>
          <wp:inline distT="0" distB="0" distL="0" distR="0" wp14:anchorId="23D3143C" wp14:editId="73BC12A4">
            <wp:extent cx="3552825" cy="2543175"/>
            <wp:effectExtent l="0" t="0" r="0" b="0"/>
            <wp:docPr id="692149331" name="Picture 692149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552825" cy="2543175"/>
                    </a:xfrm>
                    <a:prstGeom prst="rect">
                      <a:avLst/>
                    </a:prstGeom>
                  </pic:spPr>
                </pic:pic>
              </a:graphicData>
            </a:graphic>
          </wp:inline>
        </w:drawing>
      </w:r>
    </w:p>
    <w:p w14:paraId="2B6163D5" w14:textId="77777777" w:rsidR="006B2219" w:rsidRPr="00403EF5" w:rsidRDefault="00000000">
      <w:pPr>
        <w:spacing w:after="250"/>
        <w:jc w:val="center"/>
        <w:rPr>
          <w:rFonts w:ascii="David" w:hAnsi="David" w:cs="David"/>
          <w:sz w:val="24"/>
          <w:szCs w:val="24"/>
        </w:rPr>
      </w:pPr>
      <w:r w:rsidRPr="00403EF5">
        <w:rPr>
          <w:rFonts w:ascii="David" w:hAnsi="David" w:cs="David"/>
          <w:i/>
          <w:iCs/>
          <w:color w:val="555555"/>
          <w:sz w:val="24"/>
          <w:szCs w:val="24"/>
        </w:rPr>
        <w:t>Figure 3. Percentage of missing values by column (training set).</w:t>
      </w:r>
    </w:p>
    <w:p w14:paraId="523FB759"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Instead of simply removing rows or columns, we treated missingness as a potential predictive signal. Missing-indicator features were created for important columns, such as company, agent, registration timing, requested lab configuration, daily tuition cost, and participant count.</w:t>
      </w:r>
    </w:p>
    <w:p w14:paraId="7169AA6B"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Numerical missing values were handled with median imputation, while categorical missing values were handled with a constant "Missing" category. Preprocessing was implemented inside a scikit-learn Pipeline / ColumnTransformer to avoid data leakage: the preprocessing pipeline is fit only on the training fold and then applied (transform only) to validation or test data.</w:t>
      </w:r>
    </w:p>
    <w:p w14:paraId="7DBBC9F2"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Categorical variables were encoded using one-hot encoding with handle_unknown="ignore" to safely handle categories appearing in the test set but not in training.</w:t>
      </w:r>
    </w:p>
    <w:p w14:paraId="283F4B84" w14:textId="77777777" w:rsidR="006B2219" w:rsidRPr="00403EF5" w:rsidRDefault="00000000">
      <w:pPr>
        <w:pStyle w:val="Heading1"/>
        <w:spacing w:before="300" w:after="150"/>
        <w:rPr>
          <w:rFonts w:ascii="David" w:hAnsi="David" w:cs="David"/>
          <w:sz w:val="24"/>
          <w:szCs w:val="24"/>
        </w:rPr>
      </w:pPr>
      <w:r w:rsidRPr="00403EF5">
        <w:rPr>
          <w:rFonts w:ascii="David" w:hAnsi="David" w:cs="David"/>
          <w:sz w:val="24"/>
          <w:szCs w:val="24"/>
        </w:rPr>
        <w:t>5. Feature Engineering and Outlier Analysis</w:t>
      </w:r>
    </w:p>
    <w:p w14:paraId="1F40D182"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Feature engineering was based on the business logic of course registrations. We created participant-based, cost-based, previous-history, support-ticket, registration-change, missingness, lab-configuration, and date-based features. Important engineered features included:</w:t>
      </w:r>
    </w:p>
    <w:p w14:paraId="14B237CE"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Total_Participants</w:t>
      </w:r>
    </w:p>
    <w:p w14:paraId="14138991"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Active_Participants</w:t>
      </w:r>
    </w:p>
    <w:p w14:paraId="4C914E33"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Observer_Ratio</w:t>
      </w:r>
    </w:p>
    <w:p w14:paraId="7D71E226"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Student_Ratio</w:t>
      </w:r>
    </w:p>
    <w:p w14:paraId="14FDD407"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Professional_Ratio</w:t>
      </w:r>
    </w:p>
    <w:p w14:paraId="68BBCC8F"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Total_Hours</w:t>
      </w:r>
    </w:p>
    <w:p w14:paraId="07A376C0"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Practical_Ratio</w:t>
      </w:r>
    </w:p>
    <w:p w14:paraId="250F4D56"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Cost_Per_Hour</w:t>
      </w:r>
    </w:p>
    <w:p w14:paraId="5716AED0"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Cost_Per_Participant</w:t>
      </w:r>
    </w:p>
    <w:p w14:paraId="1C3D41D9"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lastRenderedPageBreak/>
        <w:t>Prev_Total_Courses</w:t>
      </w:r>
    </w:p>
    <w:p w14:paraId="7513E4F7"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Prev_Dropout_Rate</w:t>
      </w:r>
    </w:p>
    <w:p w14:paraId="1743CE58"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Support_Per_Participant</w:t>
      </w:r>
    </w:p>
    <w:p w14:paraId="1F4FCE21"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Changes_Per_Waiting_Day</w:t>
      </w:r>
    </w:p>
    <w:p w14:paraId="53A37864"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Lab_Config_Mismatch</w:t>
      </w:r>
    </w:p>
    <w:p w14:paraId="414E7B34"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Has_Company</w:t>
      </w:r>
    </w:p>
    <w:p w14:paraId="7AD962C9"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Has_Agent</w:t>
      </w:r>
    </w:p>
    <w:p w14:paraId="00AFC49D"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date features (month, quarter, day of week, week of year)</w:t>
      </w:r>
    </w:p>
    <w:p w14:paraId="72167DCB"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Outliers were analyzed using distribution plots, boxplots, and IQR-based summaries. We avoided blindly deleting outliers because many extreme values may represent real business cases (e.g. a very large registration). Since the main models were tree-based, they handle nonlinear effects and extreme values more robustly than linear models would. Test rows were never removed.</w:t>
      </w:r>
    </w:p>
    <w:p w14:paraId="63E4CEE1"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Several categorical features have high cardinality (e.g. Origin_Country: 721 unique values, Client_Category: 505, Catering_Package: 321, Submission_Source: 328), which after one-hot encoding produces roughly 2,700 sparse columns feeding the model. This is a real instance of the "curse of dimensionality" discussed in the course: it increases variance and is a plausible additional contributor — beyond the temporal train/test shift discussed below — to the gap between random cross-validation AUC (~0.95) and both time-aware validation AUC (~0.90) and the leaderboard AUC (0.889). Grouping rare categories (e.g. keeping the top N per column and bucketing the rest as "Other") is listed as a future improvement in Section 10.</w:t>
      </w:r>
    </w:p>
    <w:p w14:paraId="5BE175F6" w14:textId="77777777" w:rsidR="006B2219" w:rsidRPr="00403EF5" w:rsidRDefault="00000000">
      <w:pPr>
        <w:pStyle w:val="Heading1"/>
        <w:spacing w:before="300" w:after="150"/>
        <w:rPr>
          <w:rFonts w:ascii="David" w:hAnsi="David" w:cs="David"/>
          <w:sz w:val="24"/>
          <w:szCs w:val="24"/>
        </w:rPr>
      </w:pPr>
      <w:r w:rsidRPr="00403EF5">
        <w:rPr>
          <w:rFonts w:ascii="David" w:hAnsi="David" w:cs="David"/>
          <w:sz w:val="24"/>
          <w:szCs w:val="24"/>
        </w:rPr>
        <w:t>6. Modeling and Validation Strategy</w:t>
      </w:r>
    </w:p>
    <w:p w14:paraId="7377519B"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We compared several model families:</w:t>
      </w:r>
    </w:p>
    <w:p w14:paraId="43828F16"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Logistic Regression</w:t>
      </w:r>
    </w:p>
    <w:p w14:paraId="02B80880"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Random Forest</w:t>
      </w:r>
    </w:p>
    <w:p w14:paraId="692AD13E"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HistGradientBoosting</w:t>
      </w:r>
    </w:p>
    <w:p w14:paraId="2AAA20F4"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LightGBM</w:t>
      </w:r>
    </w:p>
    <w:p w14:paraId="5BBEEA8F"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baseline models showed that gradient-boosting methods performed best. Logistic Regression gave a useful simple baseline, but boosting models captured nonlinear interactions more effectively.</w:t>
      </w:r>
    </w:p>
    <w:p w14:paraId="46395973"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validation strategy included:</w:t>
      </w:r>
    </w:p>
    <w:p w14:paraId="21296107"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Stratified K-Fold cross-validation</w:t>
      </w:r>
    </w:p>
    <w:p w14:paraId="4B7C11A0"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Train AUC and validation AUC comparison (bias-variance / overfitting-gap check)</w:t>
      </w:r>
    </w:p>
    <w:p w14:paraId="71BCF6EC"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Per-fold ROC curves</w:t>
      </w:r>
    </w:p>
    <w:p w14:paraId="7959A6BB"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Time-aware validation because of the temporal train/test shift</w:t>
      </w:r>
    </w:p>
    <w:p w14:paraId="7F5E3C74"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This allowed us to compare models not only by average validation AUC, but also by stability and overfitting behavior — i.e. the bias-variance tradeoff discussed in the course: a model with high random-CV AUC but a large train/validation gap (like our deeper LightGBM configuration) has higher variance and is more sensitive to distribution shift, while a lower-variance model may generalize more safely to the temporally-shifted test set.</w:t>
      </w:r>
    </w:p>
    <w:p w14:paraId="5D423D54" w14:textId="77777777" w:rsidR="006B2219" w:rsidRPr="00403EF5" w:rsidRDefault="00000000">
      <w:pPr>
        <w:pStyle w:val="Heading1"/>
        <w:spacing w:before="300" w:after="150"/>
        <w:rPr>
          <w:rFonts w:ascii="David" w:hAnsi="David" w:cs="David"/>
          <w:sz w:val="24"/>
          <w:szCs w:val="24"/>
        </w:rPr>
      </w:pPr>
      <w:r w:rsidRPr="00403EF5">
        <w:rPr>
          <w:rFonts w:ascii="David" w:hAnsi="David" w:cs="David"/>
          <w:sz w:val="24"/>
          <w:szCs w:val="24"/>
        </w:rPr>
        <w:lastRenderedPageBreak/>
        <w:t>7. Model Results and Hyperparameter Tuning</w:t>
      </w:r>
    </w:p>
    <w:p w14:paraId="51379DDA"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main model comparison showed that LightGBM achieved the strongest validation performance. The tuned deeper LightGBM model achieved the highest random cross-validation AUC, while the baseline LightGBM had a slightly smaller train-validation gap.</w:t>
      </w:r>
    </w:p>
    <w:p w14:paraId="5DAF81F8"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Approximate validation results: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300"/>
        <w:gridCol w:w="3300"/>
      </w:tblGrid>
      <w:tr w:rsidR="006B2219" w:rsidRPr="00403EF5" w14:paraId="314570A3" w14:textId="77777777">
        <w:tc>
          <w:tcPr>
            <w:tcW w:w="3300" w:type="dxa"/>
            <w:shd w:val="clear" w:color="auto" w:fill="1F3B57"/>
          </w:tcPr>
          <w:p w14:paraId="3119F5C4" w14:textId="77777777" w:rsidR="006B2219" w:rsidRPr="00403EF5" w:rsidRDefault="00000000">
            <w:pPr>
              <w:rPr>
                <w:rFonts w:ascii="David" w:hAnsi="David" w:cs="David"/>
                <w:sz w:val="24"/>
                <w:szCs w:val="24"/>
              </w:rPr>
            </w:pPr>
            <w:r w:rsidRPr="00403EF5">
              <w:rPr>
                <w:rFonts w:ascii="David" w:hAnsi="David" w:cs="David"/>
                <w:b/>
                <w:bCs/>
                <w:color w:val="FFFFFF"/>
                <w:sz w:val="24"/>
                <w:szCs w:val="24"/>
              </w:rPr>
              <w:t>Model</w:t>
            </w:r>
          </w:p>
        </w:tc>
        <w:tc>
          <w:tcPr>
            <w:tcW w:w="3300" w:type="dxa"/>
            <w:shd w:val="clear" w:color="auto" w:fill="1F3B57"/>
          </w:tcPr>
          <w:p w14:paraId="4BF61E8B" w14:textId="77777777" w:rsidR="006B2219" w:rsidRPr="00403EF5" w:rsidRDefault="00000000">
            <w:pPr>
              <w:rPr>
                <w:rFonts w:ascii="David" w:hAnsi="David" w:cs="David"/>
                <w:sz w:val="24"/>
                <w:szCs w:val="24"/>
              </w:rPr>
            </w:pPr>
            <w:r w:rsidRPr="00403EF5">
              <w:rPr>
                <w:rFonts w:ascii="David" w:hAnsi="David" w:cs="David"/>
                <w:b/>
                <w:bCs/>
                <w:color w:val="FFFFFF"/>
                <w:sz w:val="24"/>
                <w:szCs w:val="24"/>
              </w:rPr>
              <w:t>Validation AUC</w:t>
            </w:r>
          </w:p>
        </w:tc>
        <w:tc>
          <w:tcPr>
            <w:tcW w:w="3300" w:type="dxa"/>
            <w:shd w:val="clear" w:color="auto" w:fill="1F3B57"/>
          </w:tcPr>
          <w:p w14:paraId="3BFE9922" w14:textId="77777777" w:rsidR="006B2219" w:rsidRPr="00403EF5" w:rsidRDefault="00000000">
            <w:pPr>
              <w:rPr>
                <w:rFonts w:ascii="David" w:hAnsi="David" w:cs="David"/>
                <w:sz w:val="24"/>
                <w:szCs w:val="24"/>
              </w:rPr>
            </w:pPr>
            <w:r w:rsidRPr="00403EF5">
              <w:rPr>
                <w:rFonts w:ascii="David" w:hAnsi="David" w:cs="David"/>
                <w:b/>
                <w:bCs/>
                <w:color w:val="FFFFFF"/>
                <w:sz w:val="24"/>
                <w:szCs w:val="24"/>
              </w:rPr>
              <w:t>Notes</w:t>
            </w:r>
          </w:p>
        </w:tc>
      </w:tr>
      <w:tr w:rsidR="006B2219" w:rsidRPr="00403EF5" w14:paraId="1EFF2AA3" w14:textId="77777777">
        <w:tc>
          <w:tcPr>
            <w:tcW w:w="3300" w:type="dxa"/>
          </w:tcPr>
          <w:p w14:paraId="4FFEFB66" w14:textId="77777777" w:rsidR="006B2219" w:rsidRPr="00403EF5" w:rsidRDefault="00000000">
            <w:pPr>
              <w:rPr>
                <w:rFonts w:ascii="David" w:hAnsi="David" w:cs="David"/>
                <w:sz w:val="24"/>
                <w:szCs w:val="24"/>
              </w:rPr>
            </w:pPr>
            <w:r w:rsidRPr="00403EF5">
              <w:rPr>
                <w:rFonts w:ascii="David" w:hAnsi="David" w:cs="David"/>
                <w:sz w:val="24"/>
                <w:szCs w:val="24"/>
              </w:rPr>
              <w:t>Logistic Regression</w:t>
            </w:r>
          </w:p>
        </w:tc>
        <w:tc>
          <w:tcPr>
            <w:tcW w:w="3300" w:type="dxa"/>
          </w:tcPr>
          <w:p w14:paraId="03FF5E43" w14:textId="77777777" w:rsidR="006B2219" w:rsidRPr="00403EF5" w:rsidRDefault="00000000">
            <w:pPr>
              <w:rPr>
                <w:rFonts w:ascii="David" w:hAnsi="David" w:cs="David"/>
                <w:sz w:val="24"/>
                <w:szCs w:val="24"/>
              </w:rPr>
            </w:pPr>
            <w:r w:rsidRPr="00403EF5">
              <w:rPr>
                <w:rFonts w:ascii="David" w:hAnsi="David" w:cs="David"/>
                <w:sz w:val="24"/>
                <w:szCs w:val="24"/>
              </w:rPr>
              <w:t>0.9037</w:t>
            </w:r>
          </w:p>
        </w:tc>
        <w:tc>
          <w:tcPr>
            <w:tcW w:w="3300" w:type="dxa"/>
          </w:tcPr>
          <w:p w14:paraId="76CFDA85" w14:textId="77777777" w:rsidR="006B2219" w:rsidRPr="00403EF5" w:rsidRDefault="00000000">
            <w:pPr>
              <w:rPr>
                <w:rFonts w:ascii="David" w:hAnsi="David" w:cs="David"/>
                <w:sz w:val="24"/>
                <w:szCs w:val="24"/>
              </w:rPr>
            </w:pPr>
            <w:r w:rsidRPr="00403EF5">
              <w:rPr>
                <w:rFonts w:ascii="David" w:hAnsi="David" w:cs="David"/>
                <w:sz w:val="24"/>
                <w:szCs w:val="24"/>
              </w:rPr>
              <w:t>Simple linear baseline</w:t>
            </w:r>
          </w:p>
        </w:tc>
      </w:tr>
      <w:tr w:rsidR="006B2219" w:rsidRPr="00403EF5" w14:paraId="5EA4F118" w14:textId="77777777">
        <w:tc>
          <w:tcPr>
            <w:tcW w:w="3300" w:type="dxa"/>
          </w:tcPr>
          <w:p w14:paraId="3E136E88" w14:textId="77777777" w:rsidR="006B2219" w:rsidRPr="00403EF5" w:rsidRDefault="00000000">
            <w:pPr>
              <w:rPr>
                <w:rFonts w:ascii="David" w:hAnsi="David" w:cs="David"/>
                <w:sz w:val="24"/>
                <w:szCs w:val="24"/>
              </w:rPr>
            </w:pPr>
            <w:r w:rsidRPr="00403EF5">
              <w:rPr>
                <w:rFonts w:ascii="David" w:hAnsi="David" w:cs="David"/>
                <w:sz w:val="24"/>
                <w:szCs w:val="24"/>
              </w:rPr>
              <w:t>Random Forest</w:t>
            </w:r>
          </w:p>
        </w:tc>
        <w:tc>
          <w:tcPr>
            <w:tcW w:w="3300" w:type="dxa"/>
          </w:tcPr>
          <w:p w14:paraId="0A841D8B" w14:textId="77777777" w:rsidR="006B2219" w:rsidRPr="00403EF5" w:rsidRDefault="00000000">
            <w:pPr>
              <w:rPr>
                <w:rFonts w:ascii="David" w:hAnsi="David" w:cs="David"/>
                <w:sz w:val="24"/>
                <w:szCs w:val="24"/>
              </w:rPr>
            </w:pPr>
            <w:r w:rsidRPr="00403EF5">
              <w:rPr>
                <w:rFonts w:ascii="David" w:hAnsi="David" w:cs="David"/>
                <w:sz w:val="24"/>
                <w:szCs w:val="24"/>
              </w:rPr>
              <w:t>0.8865</w:t>
            </w:r>
          </w:p>
        </w:tc>
        <w:tc>
          <w:tcPr>
            <w:tcW w:w="3300" w:type="dxa"/>
          </w:tcPr>
          <w:p w14:paraId="096E1193" w14:textId="77777777" w:rsidR="006B2219" w:rsidRPr="00403EF5" w:rsidRDefault="00000000">
            <w:pPr>
              <w:rPr>
                <w:rFonts w:ascii="David" w:hAnsi="David" w:cs="David"/>
                <w:sz w:val="24"/>
                <w:szCs w:val="24"/>
              </w:rPr>
            </w:pPr>
            <w:r w:rsidRPr="00403EF5">
              <w:rPr>
                <w:rFonts w:ascii="David" w:hAnsi="David" w:cs="David"/>
                <w:sz w:val="24"/>
                <w:szCs w:val="24"/>
              </w:rPr>
              <w:t>Low overfitting but weaker performance</w:t>
            </w:r>
          </w:p>
        </w:tc>
      </w:tr>
      <w:tr w:rsidR="006B2219" w:rsidRPr="00403EF5" w14:paraId="72289EC6" w14:textId="77777777">
        <w:tc>
          <w:tcPr>
            <w:tcW w:w="3300" w:type="dxa"/>
          </w:tcPr>
          <w:p w14:paraId="78C20480" w14:textId="77777777" w:rsidR="006B2219" w:rsidRPr="00403EF5" w:rsidRDefault="00000000">
            <w:pPr>
              <w:rPr>
                <w:rFonts w:ascii="David" w:hAnsi="David" w:cs="David"/>
                <w:sz w:val="24"/>
                <w:szCs w:val="24"/>
              </w:rPr>
            </w:pPr>
            <w:r w:rsidRPr="00403EF5">
              <w:rPr>
                <w:rFonts w:ascii="David" w:hAnsi="David" w:cs="David"/>
                <w:sz w:val="24"/>
                <w:szCs w:val="24"/>
              </w:rPr>
              <w:t>HistGradientBoosting</w:t>
            </w:r>
          </w:p>
        </w:tc>
        <w:tc>
          <w:tcPr>
            <w:tcW w:w="3300" w:type="dxa"/>
          </w:tcPr>
          <w:p w14:paraId="46339A16" w14:textId="77777777" w:rsidR="006B2219" w:rsidRPr="00403EF5" w:rsidRDefault="00000000">
            <w:pPr>
              <w:rPr>
                <w:rFonts w:ascii="David" w:hAnsi="David" w:cs="David"/>
                <w:sz w:val="24"/>
                <w:szCs w:val="24"/>
              </w:rPr>
            </w:pPr>
            <w:r w:rsidRPr="00403EF5">
              <w:rPr>
                <w:rFonts w:ascii="David" w:hAnsi="David" w:cs="David"/>
                <w:sz w:val="24"/>
                <w:szCs w:val="24"/>
              </w:rPr>
              <w:t>0.9477</w:t>
            </w:r>
          </w:p>
        </w:tc>
        <w:tc>
          <w:tcPr>
            <w:tcW w:w="3300" w:type="dxa"/>
          </w:tcPr>
          <w:p w14:paraId="44AB13EF" w14:textId="77777777" w:rsidR="006B2219" w:rsidRPr="00403EF5" w:rsidRDefault="00000000">
            <w:pPr>
              <w:rPr>
                <w:rFonts w:ascii="David" w:hAnsi="David" w:cs="David"/>
                <w:sz w:val="24"/>
                <w:szCs w:val="24"/>
              </w:rPr>
            </w:pPr>
            <w:r w:rsidRPr="00403EF5">
              <w:rPr>
                <w:rFonts w:ascii="David" w:hAnsi="David" w:cs="David"/>
                <w:sz w:val="24"/>
                <w:szCs w:val="24"/>
              </w:rPr>
              <w:t>Strong boosting baseline</w:t>
            </w:r>
          </w:p>
        </w:tc>
      </w:tr>
      <w:tr w:rsidR="006B2219" w:rsidRPr="00403EF5" w14:paraId="168843F4" w14:textId="77777777">
        <w:tc>
          <w:tcPr>
            <w:tcW w:w="3300" w:type="dxa"/>
          </w:tcPr>
          <w:p w14:paraId="1B6001CD" w14:textId="77777777" w:rsidR="006B2219" w:rsidRPr="00403EF5" w:rsidRDefault="00000000">
            <w:pPr>
              <w:rPr>
                <w:rFonts w:ascii="David" w:hAnsi="David" w:cs="David"/>
                <w:sz w:val="24"/>
                <w:szCs w:val="24"/>
              </w:rPr>
            </w:pPr>
            <w:r w:rsidRPr="00403EF5">
              <w:rPr>
                <w:rFonts w:ascii="David" w:hAnsi="David" w:cs="David"/>
                <w:sz w:val="24"/>
                <w:szCs w:val="24"/>
              </w:rPr>
              <w:t>LightGBM baseline</w:t>
            </w:r>
          </w:p>
        </w:tc>
        <w:tc>
          <w:tcPr>
            <w:tcW w:w="3300" w:type="dxa"/>
          </w:tcPr>
          <w:p w14:paraId="4D31D04A" w14:textId="77777777" w:rsidR="006B2219" w:rsidRPr="00403EF5" w:rsidRDefault="00000000">
            <w:pPr>
              <w:rPr>
                <w:rFonts w:ascii="David" w:hAnsi="David" w:cs="David"/>
                <w:sz w:val="24"/>
                <w:szCs w:val="24"/>
              </w:rPr>
            </w:pPr>
            <w:r w:rsidRPr="00403EF5">
              <w:rPr>
                <w:rFonts w:ascii="David" w:hAnsi="David" w:cs="David"/>
                <w:sz w:val="24"/>
                <w:szCs w:val="24"/>
              </w:rPr>
              <w:t>0.9497</w:t>
            </w:r>
          </w:p>
        </w:tc>
        <w:tc>
          <w:tcPr>
            <w:tcW w:w="3300" w:type="dxa"/>
          </w:tcPr>
          <w:p w14:paraId="0B109747" w14:textId="77777777" w:rsidR="006B2219" w:rsidRPr="00403EF5" w:rsidRDefault="00000000">
            <w:pPr>
              <w:rPr>
                <w:rFonts w:ascii="David" w:hAnsi="David" w:cs="David"/>
                <w:sz w:val="24"/>
                <w:szCs w:val="24"/>
              </w:rPr>
            </w:pPr>
            <w:r w:rsidRPr="00403EF5">
              <w:rPr>
                <w:rFonts w:ascii="David" w:hAnsi="David" w:cs="David"/>
                <w:sz w:val="24"/>
                <w:szCs w:val="24"/>
              </w:rPr>
              <w:t>Strong and stable</w:t>
            </w:r>
          </w:p>
        </w:tc>
      </w:tr>
      <w:tr w:rsidR="006B2219" w:rsidRPr="00403EF5" w14:paraId="5125A71D" w14:textId="77777777">
        <w:tc>
          <w:tcPr>
            <w:tcW w:w="3300" w:type="dxa"/>
          </w:tcPr>
          <w:p w14:paraId="04A3B439" w14:textId="77777777" w:rsidR="006B2219" w:rsidRPr="00403EF5" w:rsidRDefault="00000000">
            <w:pPr>
              <w:rPr>
                <w:rFonts w:ascii="David" w:hAnsi="David" w:cs="David"/>
                <w:sz w:val="24"/>
                <w:szCs w:val="24"/>
              </w:rPr>
            </w:pPr>
            <w:r w:rsidRPr="00403EF5">
              <w:rPr>
                <w:rFonts w:ascii="David" w:hAnsi="David" w:cs="David"/>
                <w:sz w:val="24"/>
                <w:szCs w:val="24"/>
              </w:rPr>
              <w:t>LightGBM tuned/deeper</w:t>
            </w:r>
          </w:p>
        </w:tc>
        <w:tc>
          <w:tcPr>
            <w:tcW w:w="3300" w:type="dxa"/>
          </w:tcPr>
          <w:p w14:paraId="17459440" w14:textId="77777777" w:rsidR="006B2219" w:rsidRPr="00403EF5" w:rsidRDefault="00000000">
            <w:pPr>
              <w:rPr>
                <w:rFonts w:ascii="David" w:hAnsi="David" w:cs="David"/>
                <w:sz w:val="24"/>
                <w:szCs w:val="24"/>
              </w:rPr>
            </w:pPr>
            <w:r w:rsidRPr="00403EF5">
              <w:rPr>
                <w:rFonts w:ascii="David" w:hAnsi="David" w:cs="David"/>
                <w:sz w:val="24"/>
                <w:szCs w:val="24"/>
              </w:rPr>
              <w:t>0.9523</w:t>
            </w:r>
          </w:p>
        </w:tc>
        <w:tc>
          <w:tcPr>
            <w:tcW w:w="3300" w:type="dxa"/>
          </w:tcPr>
          <w:p w14:paraId="63550ECD" w14:textId="77777777" w:rsidR="006B2219" w:rsidRPr="00403EF5" w:rsidRDefault="00000000">
            <w:pPr>
              <w:rPr>
                <w:rFonts w:ascii="David" w:hAnsi="David" w:cs="David"/>
                <w:sz w:val="24"/>
                <w:szCs w:val="24"/>
              </w:rPr>
            </w:pPr>
            <w:r w:rsidRPr="00403EF5">
              <w:rPr>
                <w:rFonts w:ascii="David" w:hAnsi="David" w:cs="David"/>
                <w:sz w:val="24"/>
                <w:szCs w:val="24"/>
              </w:rPr>
              <w:t>Highest random CV AUC</w:t>
            </w:r>
          </w:p>
        </w:tc>
      </w:tr>
    </w:tbl>
    <w:p w14:paraId="2C88D8CE" w14:textId="77777777" w:rsidR="006B2219" w:rsidRPr="00403EF5" w:rsidRDefault="006B2219">
      <w:pPr>
        <w:spacing w:after="150"/>
        <w:rPr>
          <w:rFonts w:ascii="David" w:hAnsi="David" w:cs="David"/>
          <w:sz w:val="24"/>
          <w:szCs w:val="24"/>
        </w:rPr>
      </w:pPr>
    </w:p>
    <w:p w14:paraId="18F22570"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Although random cross-validation AUC was high, time-aware validation was lower, around 0.902. This supports the conclusion that the data has temporal distribution shift and that leaderboard performance may be lower than random CV performance. The final known public leaderboard AUC was 0.889030.</w:t>
      </w:r>
    </w:p>
    <w:p w14:paraId="1C9301EC"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per-fold ROC curves and per-fold AUC below (from a representative 5-fold LightGBM run on the full training set, same feature pipeline as the final model) show that performance is stable across folds, with no unusually weak fold:</w:t>
      </w:r>
    </w:p>
    <w:p w14:paraId="4EBD721B" w14:textId="77777777" w:rsidR="006B2219" w:rsidRPr="00403EF5" w:rsidRDefault="00000000">
      <w:pPr>
        <w:spacing w:before="100" w:after="60"/>
        <w:jc w:val="center"/>
        <w:rPr>
          <w:rFonts w:ascii="David" w:hAnsi="David" w:cs="David"/>
          <w:sz w:val="24"/>
          <w:szCs w:val="24"/>
        </w:rPr>
      </w:pPr>
      <w:r w:rsidRPr="00403EF5">
        <w:rPr>
          <w:rFonts w:ascii="David" w:hAnsi="David" w:cs="David"/>
          <w:noProof/>
          <w:sz w:val="24"/>
          <w:szCs w:val="24"/>
        </w:rPr>
        <w:drawing>
          <wp:inline distT="0" distB="0" distL="0" distR="0" wp14:anchorId="11241D69" wp14:editId="3188F3FA">
            <wp:extent cx="2924175" cy="2505075"/>
            <wp:effectExtent l="0" t="0" r="0" b="0"/>
            <wp:docPr id="864862668" name="Picture 864862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924175" cy="2505075"/>
                    </a:xfrm>
                    <a:prstGeom prst="rect">
                      <a:avLst/>
                    </a:prstGeom>
                  </pic:spPr>
                </pic:pic>
              </a:graphicData>
            </a:graphic>
          </wp:inline>
        </w:drawing>
      </w:r>
    </w:p>
    <w:p w14:paraId="54CF5890" w14:textId="77777777" w:rsidR="006B2219" w:rsidRPr="00403EF5" w:rsidRDefault="00000000">
      <w:pPr>
        <w:spacing w:after="250"/>
        <w:jc w:val="center"/>
        <w:rPr>
          <w:rFonts w:ascii="David" w:hAnsi="David" w:cs="David"/>
          <w:sz w:val="24"/>
          <w:szCs w:val="24"/>
        </w:rPr>
      </w:pPr>
      <w:r w:rsidRPr="00403EF5">
        <w:rPr>
          <w:rFonts w:ascii="David" w:hAnsi="David" w:cs="David"/>
          <w:i/>
          <w:iCs/>
          <w:color w:val="555555"/>
          <w:sz w:val="24"/>
          <w:szCs w:val="24"/>
        </w:rPr>
        <w:t>Figure 4. Per-fold ROC curves, 5-fold Stratified CV.</w:t>
      </w:r>
    </w:p>
    <w:p w14:paraId="31857597" w14:textId="77777777" w:rsidR="006B2219" w:rsidRPr="00403EF5" w:rsidRDefault="00000000">
      <w:pPr>
        <w:spacing w:before="100" w:after="60"/>
        <w:jc w:val="center"/>
        <w:rPr>
          <w:rFonts w:ascii="David" w:hAnsi="David" w:cs="David"/>
          <w:sz w:val="24"/>
          <w:szCs w:val="24"/>
        </w:rPr>
      </w:pPr>
      <w:r w:rsidRPr="00403EF5">
        <w:rPr>
          <w:rFonts w:ascii="David" w:hAnsi="David" w:cs="David"/>
          <w:noProof/>
          <w:sz w:val="24"/>
          <w:szCs w:val="24"/>
        </w:rPr>
        <w:lastRenderedPageBreak/>
        <w:drawing>
          <wp:inline distT="0" distB="0" distL="0" distR="0" wp14:anchorId="6E048573" wp14:editId="3E807F7E">
            <wp:extent cx="2924175" cy="1943100"/>
            <wp:effectExtent l="0" t="0" r="0" b="0"/>
            <wp:docPr id="1363599391" name="Picture 1363599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924175" cy="1943100"/>
                    </a:xfrm>
                    <a:prstGeom prst="rect">
                      <a:avLst/>
                    </a:prstGeom>
                  </pic:spPr>
                </pic:pic>
              </a:graphicData>
            </a:graphic>
          </wp:inline>
        </w:drawing>
      </w:r>
    </w:p>
    <w:p w14:paraId="67FCDD32" w14:textId="77777777" w:rsidR="006B2219" w:rsidRPr="00403EF5" w:rsidRDefault="00000000">
      <w:pPr>
        <w:spacing w:after="250"/>
        <w:jc w:val="center"/>
        <w:rPr>
          <w:rFonts w:ascii="David" w:hAnsi="David" w:cs="David"/>
          <w:i/>
          <w:iCs/>
          <w:color w:val="555555"/>
          <w:sz w:val="24"/>
          <w:szCs w:val="24"/>
        </w:rPr>
      </w:pPr>
      <w:r w:rsidRPr="00403EF5">
        <w:rPr>
          <w:rFonts w:ascii="David" w:hAnsi="David" w:cs="David"/>
          <w:i/>
          <w:iCs/>
          <w:color w:val="555555"/>
          <w:sz w:val="24"/>
          <w:szCs w:val="24"/>
        </w:rPr>
        <w:t>Figure 5. Validation AUC per fold (overall out-of-fold AUC = 0.9483).</w:t>
      </w:r>
    </w:p>
    <w:p w14:paraId="1188E61B" w14:textId="135C5AAA" w:rsidR="00403EF5" w:rsidRPr="00403EF5" w:rsidRDefault="00403EF5">
      <w:pPr>
        <w:spacing w:after="250"/>
        <w:jc w:val="center"/>
        <w:rPr>
          <w:rFonts w:ascii="David" w:hAnsi="David" w:cs="David"/>
          <w:sz w:val="24"/>
          <w:szCs w:val="24"/>
        </w:rPr>
      </w:pPr>
      <w:r w:rsidRPr="00403EF5">
        <w:rPr>
          <w:rFonts w:ascii="David" w:hAnsi="David" w:cs="David"/>
          <w:sz w:val="24"/>
          <w:szCs w:val="24"/>
        </w:rPr>
        <w:t>For each model family, we tested several hyperparameter configurations and compared them using mean validation AUC, validation standard deviation, out-of-fold AUC, and the train-validation gap. Logistic Regression was tuned mainly through the regularization strength C. Random Forest was tuned using the number of trees, maximum depth, and minimum samples per leaf. HistGradientBoosting was tuned using learning rate, number of iterations, number of leaves, and L2 regularization. LightGBM was tuned using learning rate, number of estimators, number of leaves, minimum child samples, row/column subsampling, and L1/L2 regularization. The final model decision considered both predictive performance and overfitting risk, especially because the test set is temporally shifted.</w:t>
      </w:r>
    </w:p>
    <w:p w14:paraId="6ABEC1F8" w14:textId="77777777" w:rsidR="006B2219" w:rsidRPr="00403EF5" w:rsidRDefault="00000000">
      <w:pPr>
        <w:pStyle w:val="Heading1"/>
        <w:spacing w:before="300" w:after="150"/>
        <w:rPr>
          <w:rFonts w:ascii="David" w:hAnsi="David" w:cs="David"/>
          <w:sz w:val="24"/>
          <w:szCs w:val="24"/>
        </w:rPr>
      </w:pPr>
      <w:r w:rsidRPr="00403EF5">
        <w:rPr>
          <w:rFonts w:ascii="David" w:hAnsi="David" w:cs="David"/>
          <w:sz w:val="24"/>
          <w:szCs w:val="24"/>
        </w:rPr>
        <w:t>8. Model Evaluation: Confusion Matrix and Explainability</w:t>
      </w:r>
    </w:p>
    <w:p w14:paraId="33243C22"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Model evaluation focused primarily on ROC-AUC because the final output is a probability ranking rather than a hard classification, and ROC-AUC is threshold-independent. To also satisfy the project's requirement for threshold-based interpretation, we additionally computed a Confusion Matrix and precision/recall/F1 at a 0.5 decision threshold, using out-of-fold predictions (i.e. each prediction comes from a model that never saw that row during training, so this reflects genuine held-out performance rather than in-sample optimism):</w:t>
      </w:r>
    </w:p>
    <w:p w14:paraId="1023B38E" w14:textId="77777777" w:rsidR="006B2219" w:rsidRPr="00403EF5" w:rsidRDefault="00000000">
      <w:pPr>
        <w:spacing w:before="100" w:after="60"/>
        <w:jc w:val="center"/>
        <w:rPr>
          <w:rFonts w:ascii="David" w:hAnsi="David" w:cs="David"/>
          <w:sz w:val="24"/>
          <w:szCs w:val="24"/>
        </w:rPr>
      </w:pPr>
      <w:r w:rsidRPr="00403EF5">
        <w:rPr>
          <w:rFonts w:ascii="David" w:hAnsi="David" w:cs="David"/>
          <w:noProof/>
          <w:sz w:val="24"/>
          <w:szCs w:val="24"/>
        </w:rPr>
        <w:drawing>
          <wp:inline distT="0" distB="0" distL="0" distR="0" wp14:anchorId="62A7E235" wp14:editId="5D9DF87F">
            <wp:extent cx="2543175" cy="2028825"/>
            <wp:effectExtent l="0" t="0" r="0" b="0"/>
            <wp:docPr id="54635616" name="Picture 5463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43175" cy="2028825"/>
                    </a:xfrm>
                    <a:prstGeom prst="rect">
                      <a:avLst/>
                    </a:prstGeom>
                  </pic:spPr>
                </pic:pic>
              </a:graphicData>
            </a:graphic>
          </wp:inline>
        </w:drawing>
      </w:r>
    </w:p>
    <w:p w14:paraId="44AC01D6" w14:textId="77777777" w:rsidR="006B2219" w:rsidRPr="00403EF5" w:rsidRDefault="00000000">
      <w:pPr>
        <w:spacing w:after="250"/>
        <w:jc w:val="center"/>
        <w:rPr>
          <w:rFonts w:ascii="David" w:hAnsi="David" w:cs="David"/>
          <w:sz w:val="24"/>
          <w:szCs w:val="24"/>
        </w:rPr>
      </w:pPr>
      <w:r w:rsidRPr="00403EF5">
        <w:rPr>
          <w:rFonts w:ascii="David" w:hAnsi="David" w:cs="David"/>
          <w:i/>
          <w:iCs/>
          <w:color w:val="555555"/>
          <w:sz w:val="24"/>
          <w:szCs w:val="24"/>
        </w:rPr>
        <w:t>Figure 6. Confusion matrix, out-of-fold predictions, threshold = 0.5.</w:t>
      </w:r>
    </w:p>
    <w:p w14:paraId="15CF51E0"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 xml:space="preserve">At this threshold: precision = 0.89 and recall = 0.80 for the "Dropped" class (F1 = 0.84); precision = 0.87 and recall = 0.93 for "Not Dropped" (F1 = 0.90); overall accuracy = 0.88. In this business setting, a false negative (a client who will drop but is predicted safe) is more costly than a false </w:t>
      </w:r>
      <w:r w:rsidRPr="00403EF5">
        <w:rPr>
          <w:rFonts w:ascii="David" w:hAnsi="David" w:cs="David"/>
          <w:sz w:val="24"/>
          <w:szCs w:val="24"/>
        </w:rPr>
        <w:lastRenderedPageBreak/>
        <w:t>positive (a client flagged as at-risk who would have stayed), since a missed at-risk client receives no proactive outreach. Nova Academy could reasonably lower the decision threshold below 0.5 to prioritize recall on the "Dropped" class, accepting more false positives in exchange for catching more true dropouts — this is a threshold/business-policy choice separate from the ranking quality (AUC) of the model itself.</w:t>
      </w:r>
    </w:p>
    <w:p w14:paraId="4D84BDC4"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For explainability, we used SHAP (TreeExplainer) on the selected LightGBM configuration, in addition to the model's built-in gain-based feature importance, to understand which features drive individual predictions:</w:t>
      </w:r>
    </w:p>
    <w:p w14:paraId="7870D54D" w14:textId="77777777" w:rsidR="006B2219" w:rsidRPr="00403EF5" w:rsidRDefault="00000000">
      <w:pPr>
        <w:spacing w:before="100" w:after="60"/>
        <w:jc w:val="center"/>
        <w:rPr>
          <w:rFonts w:ascii="David" w:hAnsi="David" w:cs="David"/>
          <w:sz w:val="24"/>
          <w:szCs w:val="24"/>
        </w:rPr>
      </w:pPr>
      <w:r w:rsidRPr="00403EF5">
        <w:rPr>
          <w:rFonts w:ascii="David" w:hAnsi="David" w:cs="David"/>
          <w:noProof/>
          <w:sz w:val="24"/>
          <w:szCs w:val="24"/>
        </w:rPr>
        <w:drawing>
          <wp:inline distT="0" distB="0" distL="0" distR="0" wp14:anchorId="105319E6" wp14:editId="5F154666">
            <wp:extent cx="3305175" cy="2476500"/>
            <wp:effectExtent l="0" t="0" r="0" b="0"/>
            <wp:docPr id="803610231" name="Picture 803610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05175" cy="2476500"/>
                    </a:xfrm>
                    <a:prstGeom prst="rect">
                      <a:avLst/>
                    </a:prstGeom>
                  </pic:spPr>
                </pic:pic>
              </a:graphicData>
            </a:graphic>
          </wp:inline>
        </w:drawing>
      </w:r>
    </w:p>
    <w:p w14:paraId="1BB3E7A8" w14:textId="77777777" w:rsidR="006B2219" w:rsidRPr="00403EF5" w:rsidRDefault="00000000">
      <w:pPr>
        <w:spacing w:after="250"/>
        <w:jc w:val="center"/>
        <w:rPr>
          <w:rFonts w:ascii="David" w:hAnsi="David" w:cs="David"/>
          <w:sz w:val="24"/>
          <w:szCs w:val="24"/>
        </w:rPr>
      </w:pPr>
      <w:r w:rsidRPr="00403EF5">
        <w:rPr>
          <w:rFonts w:ascii="David" w:hAnsi="David" w:cs="David"/>
          <w:i/>
          <w:iCs/>
          <w:color w:val="555555"/>
          <w:sz w:val="24"/>
          <w:szCs w:val="24"/>
        </w:rPr>
        <w:t>Figure 7. Top 15 features by gain-based importance (LightGBM).</w:t>
      </w:r>
    </w:p>
    <w:p w14:paraId="5FCAD519" w14:textId="77777777" w:rsidR="006B2219" w:rsidRPr="00403EF5" w:rsidRDefault="00000000">
      <w:pPr>
        <w:spacing w:before="100" w:after="60"/>
        <w:jc w:val="center"/>
        <w:rPr>
          <w:rFonts w:ascii="David" w:hAnsi="David" w:cs="David"/>
          <w:sz w:val="24"/>
          <w:szCs w:val="24"/>
        </w:rPr>
      </w:pPr>
      <w:r w:rsidRPr="00403EF5">
        <w:rPr>
          <w:rFonts w:ascii="David" w:hAnsi="David" w:cs="David"/>
          <w:noProof/>
          <w:sz w:val="24"/>
          <w:szCs w:val="24"/>
        </w:rPr>
        <w:drawing>
          <wp:inline distT="0" distB="0" distL="0" distR="0" wp14:anchorId="4E3A9996" wp14:editId="3922E3DD">
            <wp:extent cx="3305175" cy="3086100"/>
            <wp:effectExtent l="0" t="0" r="0" b="0"/>
            <wp:docPr id="370478800" name="Picture 370478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305175" cy="3086100"/>
                    </a:xfrm>
                    <a:prstGeom prst="rect">
                      <a:avLst/>
                    </a:prstGeom>
                  </pic:spPr>
                </pic:pic>
              </a:graphicData>
            </a:graphic>
          </wp:inline>
        </w:drawing>
      </w:r>
    </w:p>
    <w:p w14:paraId="035DFB59" w14:textId="77777777" w:rsidR="006B2219" w:rsidRPr="00403EF5" w:rsidRDefault="00000000">
      <w:pPr>
        <w:spacing w:after="250"/>
        <w:jc w:val="center"/>
        <w:rPr>
          <w:rFonts w:ascii="David" w:hAnsi="David" w:cs="David"/>
          <w:sz w:val="24"/>
          <w:szCs w:val="24"/>
        </w:rPr>
      </w:pPr>
      <w:r w:rsidRPr="00403EF5">
        <w:rPr>
          <w:rFonts w:ascii="David" w:hAnsi="David" w:cs="David"/>
          <w:i/>
          <w:iCs/>
          <w:color w:val="555555"/>
          <w:sz w:val="24"/>
          <w:szCs w:val="24"/>
        </w:rPr>
        <w:t>Figure 8. SHAP summary plot — top 15 features by mean |SHAP value|.</w:t>
      </w:r>
    </w:p>
    <w:p w14:paraId="478041F3"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 xml:space="preserve">Both views agree on the most influential features: Payment_Terms (particularly prepaid, non-refundable registrations), Prev_Dropout_Rate, Agent_ID, Registration_Days_Before, </w:t>
      </w:r>
      <w:r w:rsidRPr="00403EF5">
        <w:rPr>
          <w:rFonts w:ascii="David" w:hAnsi="David" w:cs="David"/>
          <w:sz w:val="24"/>
          <w:szCs w:val="24"/>
        </w:rPr>
        <w:lastRenderedPageBreak/>
        <w:t>Physical_Course_Kits, Pre_Course_Supports_Tickets, and Lab_Config_Mismatch. This matches the patterns observed during EDA and gives Nova Academy actionable, per-client reasoning behind each risk score rather than a black-box number: for example, clients with a higher previous-dropout rate, more pre-course support tickets, or a mismatch between requested and assigned lab configuration are pushed toward a higher predicted cancellation probability, while non-refundable prepayment is associated with a lower one.</w:t>
      </w:r>
    </w:p>
    <w:p w14:paraId="1E6EDF18" w14:textId="77777777" w:rsidR="006B2219" w:rsidRPr="00403EF5" w:rsidRDefault="00000000">
      <w:pPr>
        <w:spacing w:after="150" w:line="276" w:lineRule="auto"/>
        <w:rPr>
          <w:rFonts w:ascii="David" w:hAnsi="David" w:cs="David"/>
          <w:i/>
          <w:iCs/>
          <w:sz w:val="24"/>
          <w:szCs w:val="24"/>
        </w:rPr>
      </w:pPr>
      <w:r w:rsidRPr="00403EF5">
        <w:rPr>
          <w:rFonts w:ascii="David" w:hAnsi="David" w:cs="David"/>
          <w:i/>
          <w:iCs/>
          <w:sz w:val="24"/>
          <w:szCs w:val="24"/>
        </w:rPr>
        <w:t>Note on methodology: the confusion matrix, feature importance, and SHAP figures above were produced from a representative LightGBM configuration trained on the full engineered feature set with the same preprocessing pipeline as the final model, run specifically to generate these diagnostic and explainability outputs for this report. It is close to, but not numerically identical to, the exact tuned "deeper" configuration used to generate the final leaderboard submission, since re-tuning was not repeated here in order to avoid any risk of altering the already-validated, leaderboard-safe submission file.</w:t>
      </w:r>
    </w:p>
    <w:p w14:paraId="2EA763A7" w14:textId="14501913" w:rsidR="00403EF5" w:rsidRDefault="00403EF5">
      <w:pPr>
        <w:spacing w:after="150" w:line="276" w:lineRule="auto"/>
        <w:rPr>
          <w:rFonts w:ascii="David" w:hAnsi="David" w:cs="David"/>
          <w:sz w:val="24"/>
          <w:szCs w:val="24"/>
        </w:rPr>
      </w:pPr>
      <w:r w:rsidRPr="00403EF5">
        <w:rPr>
          <w:rFonts w:ascii="David" w:hAnsi="David" w:cs="David"/>
          <w:sz w:val="24"/>
          <w:szCs w:val="24"/>
        </w:rPr>
        <w:t>We also compared confusion matrices for the best tuned configuration of each model family at threshold 0.5. This was used for business interpretation only, because the official metric is ROC-AUC and the final submission requires probabilities. The comparison helped us understand the tradeoff between false positives and false negatives across models. In this business setting, false negatives are especially important because they represent clients who may drop but are not flagged for proactive support.</w:t>
      </w:r>
    </w:p>
    <w:p w14:paraId="3E0EB507" w14:textId="5E823F4C" w:rsidR="00403EF5" w:rsidRPr="00403EF5" w:rsidRDefault="00403EF5" w:rsidP="00403EF5">
      <w:pPr>
        <w:pStyle w:val="Heading3"/>
        <w:rPr>
          <w:rFonts w:ascii="David" w:hAnsi="David" w:cs="David"/>
          <w:color w:val="2D73B5"/>
        </w:rPr>
      </w:pPr>
      <w:r w:rsidRPr="00403EF5">
        <w:rPr>
          <w:rFonts w:ascii="David" w:hAnsi="David" w:cs="David"/>
          <w:color w:val="2D73B5"/>
        </w:rPr>
        <w:t>9. Summary</w:t>
      </w:r>
    </w:p>
    <w:p w14:paraId="5543A9DB" w14:textId="77777777" w:rsidR="00403EF5" w:rsidRDefault="00403EF5" w:rsidP="00403EF5">
      <w:pPr>
        <w:pStyle w:val="font-claude-response-body"/>
      </w:pPr>
      <w:r>
        <w:t>This project followed the CRISP-DM methodology from business understanding through to a validated, leaderboard-tested submission. We began by framing cancellation prediction as a ranking problem best served by ROC-AUC rather than a fixed-threshold metric, then explored the data to understand class balance, missingness patterns, and — critically — the temporal relationship between the training and test sets. Preprocessing was built as a leakage-safe scikit-learn Pipeline, treating missingness itself as a signal rather than simply discarding incomplete rows. Feature engineering translated domain logic (participant mix, cost ratios, prior course history, lab-configuration mismatches) into model-ready signals, and outlier analysis confirmed that extreme values were largely legitimate business cases best left for tree-based models to handle natively. We then compared four model families under stratified cross-validation, selected LightGBM as the strongest performer, and tuned it while explicitly tracking the bias-variance tradeoff rather than optimizing validation AUC alone.</w:t>
      </w:r>
    </w:p>
    <w:p w14:paraId="1FD80802" w14:textId="77777777" w:rsidR="00403EF5" w:rsidRDefault="00403EF5" w:rsidP="00403EF5">
      <w:pPr>
        <w:pStyle w:val="font-claude-response-body"/>
      </w:pPr>
      <w:r>
        <w:rPr>
          <w:rStyle w:val="Strong"/>
        </w:rPr>
        <w:t>Key discoveries.</w:t>
      </w:r>
      <w:r>
        <w:t xml:space="preserve"> The single most important finding was that the train and test sets are temporally shifted (test data drawn from a later period than training data), which meant random cross-validation AUC (~0.95) systematically overestimated real-world performance; time-aware validation (~0.90) and the leaderboard result (0.889) told a more honest story. A second, compounding discovery was that several high-cardinality categorical features (e.g., 721 unique Origin_Country values) inflated dimensionality and model variance independently of the temporal shift. SHAP analysis confirmed that payment terms, prior dropout rate, agent identity, and registration timing were the dominant drivers of predicted cancellation risk, giving Nova Academy interpretable, per-client reasoning rather than a black-box score.</w:t>
      </w:r>
    </w:p>
    <w:p w14:paraId="3DB7F936" w14:textId="77777777" w:rsidR="00403EF5" w:rsidRDefault="00403EF5" w:rsidP="00403EF5">
      <w:pPr>
        <w:pStyle w:val="font-claude-response-body"/>
      </w:pPr>
      <w:r>
        <w:rPr>
          <w:rStyle w:val="Strong"/>
        </w:rPr>
        <w:lastRenderedPageBreak/>
        <w:t>Points worth highlighting.</w:t>
      </w:r>
      <w:r>
        <w:t xml:space="preserve"> We deliberately reported both AUC (ranking quality) and a confusion matrix at a 0.5 threshold (operational interpretability), and argued that Nova Academy should consider lowering that threshold in practice, since a missed at-risk client (false negative) is costlier than an unnecessary outreach (false positive) — a business-policy choice distinct from model quality itself.</w:t>
      </w:r>
    </w:p>
    <w:p w14:paraId="198DE8B0" w14:textId="1BA1083A" w:rsidR="00403EF5" w:rsidRPr="00403EF5" w:rsidRDefault="00403EF5" w:rsidP="00403EF5">
      <w:pPr>
        <w:pStyle w:val="font-claude-response-body"/>
      </w:pPr>
      <w:r>
        <w:rPr>
          <w:rStyle w:val="Strong"/>
        </w:rPr>
        <w:t>Directions for future improvement.</w:t>
      </w:r>
      <w:r>
        <w:t xml:space="preserve"> The clearest next step is grouping rare categories in high-cardinality columns instead of one-hot-encoding every unique value, which should reduce variance without sacrificing signal. Beyond that, we would prioritize a fully time-aware cross-validation scheme as the primary tuning criterion (rather than a diagnostic check), leakage-safe target encoding for high-cardinality IDs, probability calibration, and blending LightGBM with a lower-variance model such as HistGradientBoosting to improve robustness against future distribution shift.</w:t>
      </w:r>
    </w:p>
    <w:p w14:paraId="780B4849" w14:textId="5D07E9ED" w:rsidR="00403EF5" w:rsidRPr="00403EF5" w:rsidRDefault="00403EF5" w:rsidP="00403EF5">
      <w:pPr>
        <w:pStyle w:val="Heading1"/>
        <w:spacing w:before="300" w:after="150"/>
        <w:rPr>
          <w:rFonts w:ascii="David" w:hAnsi="David" w:cs="David"/>
          <w:sz w:val="24"/>
          <w:szCs w:val="24"/>
        </w:rPr>
      </w:pPr>
      <w:r>
        <w:rPr>
          <w:rFonts w:ascii="David" w:hAnsi="David" w:cs="David"/>
          <w:sz w:val="24"/>
          <w:szCs w:val="24"/>
        </w:rPr>
        <w:t>10</w:t>
      </w:r>
      <w:r w:rsidR="00000000" w:rsidRPr="00403EF5">
        <w:rPr>
          <w:rFonts w:ascii="David" w:hAnsi="David" w:cs="David"/>
          <w:sz w:val="24"/>
          <w:szCs w:val="24"/>
        </w:rPr>
        <w:t>. Final Submission</w:t>
      </w:r>
    </w:p>
    <w:p w14:paraId="010B4863"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final submission file is: Group_51_Submission.csv</w:t>
      </w:r>
    </w:p>
    <w:p w14:paraId="28E49BB7"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It contains exactly two columns:</w:t>
      </w:r>
    </w:p>
    <w:p w14:paraId="6536733A"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Client_ID</w:t>
      </w:r>
    </w:p>
    <w:p w14:paraId="74EF62CE"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Drop_Probability</w:t>
      </w:r>
    </w:p>
    <w:p w14:paraId="1EAE5C31"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file was validated using the following checks:</w:t>
      </w:r>
    </w:p>
    <w:p w14:paraId="22139819"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Row count equals the test set row count: 15,866</w:t>
      </w:r>
    </w:p>
    <w:p w14:paraId="64BEB7D1"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Columns are exactly Client_ID and Drop_Probability</w:t>
      </w:r>
    </w:p>
    <w:p w14:paraId="039ECABC"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No missing values</w:t>
      </w:r>
    </w:p>
    <w:p w14:paraId="7DD440CC"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No duplicate Client_ID values</w:t>
      </w:r>
    </w:p>
    <w:p w14:paraId="52C6BC48"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All probabilities are between 0 and 1</w:t>
      </w:r>
    </w:p>
    <w:p w14:paraId="2D31FED5"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Client_ID order exactly matches the original test file</w:t>
      </w:r>
    </w:p>
    <w:p w14:paraId="720A01B3"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final submitted file uses the best known leaderboard-safe prediction file, which achieved AUC = 0.889030.</w:t>
      </w:r>
    </w:p>
    <w:p w14:paraId="04F02572" w14:textId="62EB216F" w:rsidR="006B2219" w:rsidRPr="00403EF5" w:rsidRDefault="00000000">
      <w:pPr>
        <w:pStyle w:val="Heading1"/>
        <w:spacing w:before="300" w:after="150"/>
        <w:rPr>
          <w:rFonts w:ascii="David" w:hAnsi="David" w:cs="David"/>
          <w:sz w:val="24"/>
          <w:szCs w:val="24"/>
        </w:rPr>
      </w:pPr>
      <w:r w:rsidRPr="00403EF5">
        <w:rPr>
          <w:rFonts w:ascii="David" w:hAnsi="David" w:cs="David"/>
          <w:sz w:val="24"/>
          <w:szCs w:val="24"/>
        </w:rPr>
        <w:t>1</w:t>
      </w:r>
      <w:r w:rsidR="00403EF5">
        <w:rPr>
          <w:rFonts w:ascii="David" w:hAnsi="David" w:cs="David"/>
          <w:sz w:val="24"/>
          <w:szCs w:val="24"/>
        </w:rPr>
        <w:t>1</w:t>
      </w:r>
      <w:r w:rsidRPr="00403EF5">
        <w:rPr>
          <w:rFonts w:ascii="David" w:hAnsi="David" w:cs="David"/>
          <w:sz w:val="24"/>
          <w:szCs w:val="24"/>
        </w:rPr>
        <w:t>. Limitations and Future Improvements</w:t>
      </w:r>
    </w:p>
    <w:p w14:paraId="0BD92BCF"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The main limitation is temporal distribution shift between training and test data. Random cross-validation likely overestimates performance because it mixes dates, while the test set represents a future time period. A secondary, compounding factor is the high cardinality of several categorical features (Section 5), which increases model variance beyond what temporal shift alone would explain.</w:t>
      </w:r>
    </w:p>
    <w:p w14:paraId="257249D1"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Future improvements could include:</w:t>
      </w:r>
    </w:p>
    <w:p w14:paraId="2C869172"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stronger time-aware validation</w:t>
      </w:r>
    </w:p>
    <w:p w14:paraId="418696EF"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model retraining with more recent data</w:t>
      </w:r>
    </w:p>
    <w:p w14:paraId="63592477"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grouping rare categories in high-cardinality columns (e.g. Origin_Country, Client_Category) instead of one-hot encoding every unique value</w:t>
      </w:r>
    </w:p>
    <w:p w14:paraId="6DD8DAAB"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lastRenderedPageBreak/>
        <w:t>more careful treatment of high-cardinality IDs</w:t>
      </w:r>
    </w:p>
    <w:p w14:paraId="3349D279"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safer target encoding inside cross-validation</w:t>
      </w:r>
    </w:p>
    <w:p w14:paraId="321C4BA4"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probability calibration</w:t>
      </w:r>
    </w:p>
    <w:p w14:paraId="028EAAB3"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additional ensemble/blending experiments</w:t>
      </w:r>
    </w:p>
    <w:p w14:paraId="36373985" w14:textId="77777777" w:rsidR="006B2219" w:rsidRPr="00403EF5" w:rsidRDefault="00000000">
      <w:pPr>
        <w:pStyle w:val="ListParagraph"/>
        <w:numPr>
          <w:ilvl w:val="0"/>
          <w:numId w:val="1"/>
        </w:numPr>
        <w:spacing w:after="60"/>
        <w:rPr>
          <w:rFonts w:ascii="David" w:hAnsi="David" w:cs="David"/>
          <w:sz w:val="24"/>
          <w:szCs w:val="24"/>
        </w:rPr>
      </w:pPr>
      <w:r w:rsidRPr="00403EF5">
        <w:rPr>
          <w:rFonts w:ascii="David" w:hAnsi="David" w:cs="David"/>
          <w:sz w:val="24"/>
          <w:szCs w:val="24"/>
        </w:rPr>
        <w:t>deeper error analysis by client segment and course type</w:t>
      </w:r>
    </w:p>
    <w:p w14:paraId="7FA66866" w14:textId="77777777" w:rsidR="006B2219" w:rsidRPr="00403EF5" w:rsidRDefault="00000000">
      <w:pPr>
        <w:spacing w:after="150" w:line="276" w:lineRule="auto"/>
        <w:rPr>
          <w:rFonts w:ascii="David" w:hAnsi="David" w:cs="David"/>
          <w:sz w:val="24"/>
          <w:szCs w:val="24"/>
        </w:rPr>
      </w:pPr>
      <w:r w:rsidRPr="00403EF5">
        <w:rPr>
          <w:rFonts w:ascii="David" w:hAnsi="David" w:cs="David"/>
          <w:sz w:val="24"/>
          <w:szCs w:val="24"/>
        </w:rPr>
        <w:t>Overall, the project produced a validated, reproducible machine-learning pipeline, strong public leaderboard performance, and — with the confusion matrix and SHAP analysis added in Section 8 — genuinely interpretable insights into cancellation risk.</w:t>
      </w:r>
    </w:p>
    <w:sectPr w:rsidR="006B2219" w:rsidRPr="00403EF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104695"/>
    <w:multiLevelType w:val="hybridMultilevel"/>
    <w:tmpl w:val="EDD6B75C"/>
    <w:lvl w:ilvl="0" w:tplc="E0D035DC">
      <w:start w:val="1"/>
      <w:numFmt w:val="bullet"/>
      <w:lvlText w:val="●"/>
      <w:lvlJc w:val="left"/>
      <w:pPr>
        <w:ind w:left="720" w:hanging="360"/>
      </w:pPr>
    </w:lvl>
    <w:lvl w:ilvl="1" w:tplc="989E943A">
      <w:start w:val="1"/>
      <w:numFmt w:val="bullet"/>
      <w:lvlText w:val="○"/>
      <w:lvlJc w:val="left"/>
      <w:pPr>
        <w:ind w:left="1440" w:hanging="360"/>
      </w:pPr>
    </w:lvl>
    <w:lvl w:ilvl="2" w:tplc="1A4073C8">
      <w:start w:val="1"/>
      <w:numFmt w:val="bullet"/>
      <w:lvlText w:val="■"/>
      <w:lvlJc w:val="left"/>
      <w:pPr>
        <w:ind w:left="2160" w:hanging="360"/>
      </w:pPr>
    </w:lvl>
    <w:lvl w:ilvl="3" w:tplc="2DEAB8A8">
      <w:start w:val="1"/>
      <w:numFmt w:val="bullet"/>
      <w:lvlText w:val="●"/>
      <w:lvlJc w:val="left"/>
      <w:pPr>
        <w:ind w:left="2880" w:hanging="360"/>
      </w:pPr>
    </w:lvl>
    <w:lvl w:ilvl="4" w:tplc="7CD201F4">
      <w:start w:val="1"/>
      <w:numFmt w:val="bullet"/>
      <w:lvlText w:val="○"/>
      <w:lvlJc w:val="left"/>
      <w:pPr>
        <w:ind w:left="3600" w:hanging="360"/>
      </w:pPr>
    </w:lvl>
    <w:lvl w:ilvl="5" w:tplc="63C02714">
      <w:start w:val="1"/>
      <w:numFmt w:val="bullet"/>
      <w:lvlText w:val="■"/>
      <w:lvlJc w:val="left"/>
      <w:pPr>
        <w:ind w:left="4320" w:hanging="360"/>
      </w:pPr>
    </w:lvl>
    <w:lvl w:ilvl="6" w:tplc="B56433FA">
      <w:start w:val="1"/>
      <w:numFmt w:val="bullet"/>
      <w:lvlText w:val="●"/>
      <w:lvlJc w:val="left"/>
      <w:pPr>
        <w:ind w:left="5040" w:hanging="360"/>
      </w:pPr>
    </w:lvl>
    <w:lvl w:ilvl="7" w:tplc="7E0C1216">
      <w:start w:val="1"/>
      <w:numFmt w:val="bullet"/>
      <w:lvlText w:val="●"/>
      <w:lvlJc w:val="left"/>
      <w:pPr>
        <w:ind w:left="5760" w:hanging="360"/>
      </w:pPr>
    </w:lvl>
    <w:lvl w:ilvl="8" w:tplc="1C705812">
      <w:start w:val="1"/>
      <w:numFmt w:val="bullet"/>
      <w:lvlText w:val="●"/>
      <w:lvlJc w:val="left"/>
      <w:pPr>
        <w:ind w:left="6480" w:hanging="360"/>
      </w:pPr>
    </w:lvl>
  </w:abstractNum>
  <w:num w:numId="1" w16cid:durableId="214377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219"/>
    <w:rsid w:val="00403EF5"/>
    <w:rsid w:val="005D79DC"/>
    <w:rsid w:val="006B2219"/>
    <w:rsid w:val="00E02F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3AF89628"/>
  <w15:docId w15:val="{52239D25-6518-E040-8A84-1BD6F6EED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403EF5"/>
    <w:pPr>
      <w:spacing w:before="100" w:beforeAutospacing="1" w:after="100" w:afterAutospacing="1"/>
    </w:pPr>
    <w:rPr>
      <w:sz w:val="24"/>
      <w:szCs w:val="24"/>
    </w:rPr>
  </w:style>
  <w:style w:type="character" w:styleId="Strong">
    <w:name w:val="Strong"/>
    <w:basedOn w:val="DefaultParagraphFont"/>
    <w:uiPriority w:val="22"/>
    <w:qFormat/>
    <w:rsid w:val="00403E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9031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2547</Words>
  <Characters>14518</Characters>
  <Application>Microsoft Office Word</Application>
  <DocSecurity>0</DocSecurity>
  <Lines>120</Lines>
  <Paragraphs>34</Paragraphs>
  <ScaleCrop>false</ScaleCrop>
  <Company/>
  <LinksUpToDate>false</LinksUpToDate>
  <CharactersWithSpaces>17031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Pillar Ghandour</cp:lastModifiedBy>
  <cp:revision>3</cp:revision>
  <dcterms:created xsi:type="dcterms:W3CDTF">2026-07-17T12:24:00Z</dcterms:created>
  <dcterms:modified xsi:type="dcterms:W3CDTF">2026-07-17T20:07:00Z</dcterms:modified>
</cp:coreProperties>
</file>