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Where a diverse national cohort should go next: a data-driven refresh of the All of Us scientific roadmap</w:t>
      </w:r>
    </w:p>
    <w:p>
      <w:r>
        <w:rPr>
          <w:i/>
          <w:sz w:val="22"/>
        </w:rPr>
        <w:t>Working draft (prose). A data-driven perspective for the All of Us Science Committee, program leadership, NIH, and the biobank and informatics community. Data current as of 2026-10-21. Key verified citations appear inline per section; the full reference list with DOIs is at the end.</w:t>
      </w:r>
    </w:p>
    <w:p>
      <w:pPr>
        <w:pStyle w:val="Heading1"/>
      </w:pPr>
      <w:r>
        <w:t>Abstract</w:t>
      </w:r>
    </w:p>
    <w:p>
      <w:r>
        <w:rPr>
          <w:sz w:val="22"/>
        </w:rPr>
        <w:t>The All of Us Research Program set out to do something no biobank had done at national scale: enroll a cohort that reflects the diversity of the country and surround its genomes with the longitudinal, multi-modal data that genomics needs to become medicine. Six years into broad data release, the program is mature enough, and the scientific frontier has moved far enough, that its scientific roadmap deserves an evidence-based refresh. We analyzed the program's own output, 1,657 publications and 20,165 substantive researcher workspaces drawn from a live production pull, tagged against a locked 19-theme taxonomy, and benchmarked it against four peer biobanks, an external-literature horizon scan of more than three-quarters of a million preprints and grants, and a capability review of the Researcher Workbench. The picture that emerges is consistent: the eight current focus areas still describe most of the science, but a small set of fast-growing areas has no home in the framework; All of Us leads its peers precisely where its diversity gives it an advantage; it trails in a handful of addressable data and platform gaps; and it is almost entirely absent from the AI and foundation-model wave now reshaping biomedicine, despite being the ideal substrate for it. We translate these findings into a refreshed roadmap and, looking forward, a vision for All of Us as the trusted, diverse, population-scale foundation on which the next decade of equity-anchored, AI-ready, reusable science is built.</w:t>
      </w:r>
    </w:p>
    <w:p>
      <w:pPr>
        <w:pStyle w:val="Heading1"/>
      </w:pPr>
      <w:r>
        <w:t>Key takeaways</w:t>
      </w:r>
    </w:p>
    <w:p>
      <w:pPr>
        <w:pStyle w:val="ListNumber"/>
      </w:pPr>
      <w:r>
        <w:rPr>
          <w:b/>
          <w:sz w:val="22"/>
        </w:rPr>
        <w:t>The eight focus areas still hold, but three fast-growing bodies of work have no home in the framework:</w:t>
      </w:r>
      <w:r>
        <w:rPr>
          <w:sz w:val="22"/>
        </w:rPr>
        <w:t xml:space="preserve"> data science and AI methods (now about 18% of all publications), wearable and remote-monitoring research, and multi-omics. We propose a ninth focus area, "Data, AI &amp; Methods."</w:t>
      </w:r>
    </w:p>
    <w:p>
      <w:pPr>
        <w:pStyle w:val="ListNumber"/>
      </w:pPr>
      <w:r>
        <w:rPr>
          <w:b/>
          <w:sz w:val="22"/>
        </w:rPr>
        <w:t>All of Us has a distinctive identity worth protecting.</w:t>
      </w:r>
      <w:r>
        <w:rPr>
          <w:sz w:val="22"/>
        </w:rPr>
        <w:t xml:space="preserve"> It leads the peer biobanks on health-equity and social-determinants research, ethics and participant engagement, pharmacogenomics, and analytic methods, all driven by its diversity. Distinctiveness, not raw publication growth, is the durable signal.</w:t>
      </w:r>
    </w:p>
    <w:p>
      <w:pPr>
        <w:pStyle w:val="ListNumber"/>
      </w:pPr>
      <w:r>
        <w:rPr>
          <w:b/>
          <w:sz w:val="22"/>
        </w:rPr>
        <w:t>All of Us trails peers in five areas the committee flagged:</w:t>
      </w:r>
      <w:r>
        <w:rPr>
          <w:sz w:val="22"/>
        </w:rPr>
        <w:t xml:space="preserve"> imaging, multi-omics, aging research, rare disease, and environmental and social data. Some are addressable now; others reflect each peer cohort's by-design emphasis.</w:t>
      </w:r>
    </w:p>
    <w:p>
      <w:pPr>
        <w:pStyle w:val="ListNumber"/>
      </w:pPr>
      <w:r>
        <w:rPr>
          <w:b/>
          <w:sz w:val="22"/>
        </w:rPr>
        <w:t>The field's leading edge is AI and foundation models, and All of Us is almost absent from it</w:t>
      </w:r>
      <w:r>
        <w:rPr>
          <w:sz w:val="22"/>
        </w:rPr>
        <w:t xml:space="preserve"> (under about 0.3% of its work), yet uniquely positioned to lead given its diverse whole-genome and EHR data. This is the single highest-leverage opportunity.</w:t>
      </w:r>
    </w:p>
    <w:p>
      <w:pPr>
        <w:pStyle w:val="ListNumber"/>
      </w:pPr>
      <w:r>
        <w:rPr>
          <w:b/>
          <w:sz w:val="22"/>
        </w:rPr>
        <w:t>The Researcher Workbench leads on data and compute but lacks three capabilities every comparator platform has:</w:t>
      </w:r>
      <w:r>
        <w:rPr>
          <w:sz w:val="22"/>
        </w:rPr>
        <w:t xml:space="preserve"> a reusable tool and workflow registry, a governed in-environment AI assistant, and portable analysis workflows. An independent 2026 ACT-IAC and AoU AI/ML white paper reaches the same conclusions.</w:t>
      </w:r>
    </w:p>
    <w:p>
      <w:pPr>
        <w:pStyle w:val="ListNumber"/>
      </w:pPr>
      <w:r>
        <w:rPr>
          <w:b/>
          <w:sz w:val="22"/>
        </w:rPr>
        <w:t>Ancillary (partnered) studies are the leading edge the publication record cannot yet show.</w:t>
      </w:r>
      <w:r>
        <w:rPr>
          <w:sz w:val="22"/>
        </w:rPr>
        <w:t xml:space="preserve"> Workspace activity precedes publications by a year or more (Exploring the Mind: zero papers, 32 workspaces), so these studies must be scored on their goals and live workspace activity, and the program must analyze live workspace data rather than a cached snapshot.</w:t>
      </w:r>
    </w:p>
    <w:p>
      <w:pPr>
        <w:ind w:left="432"/>
      </w:pPr>
      <w:r>
        <w:rPr>
          <w:b/>
          <w:i/>
          <w:sz w:val="22"/>
        </w:rPr>
        <w:t>In one sentence:</w:t>
      </w:r>
      <w:r>
        <w:rPr>
          <w:i/>
          <w:sz w:val="22"/>
        </w:rPr>
        <w:t xml:space="preserve"> every other cohort scaled up genomics; All of Us scaled up everything around genomics that genomics needs to work in practice, and the refresh should protect that distinctiveness while closing a small set of high-value gaps and claiming the AI frontier.</w:t>
      </w:r>
    </w:p>
    <w:p>
      <w:pPr>
        <w:pStyle w:val="Heading1"/>
      </w:pPr>
      <w:r>
        <w:t>1. Introduction: why refresh the roadmap now</w:t>
      </w:r>
    </w:p>
    <w:p>
      <w:r>
        <w:rPr>
          <w:sz w:val="22"/>
        </w:rPr>
        <w:t>All of Us was born from the Precision Medicine Initiative with a mandate that set it apart from every biobank before it: build a cohort of a million or more people that represents the groups biomedical research has historically left behind, and make it a shared national resource rather than a single institution's asset (</w:t>
      </w:r>
      <w:hyperlink r:id="rId9">
        <w:r>
          <w:rPr>
            <w:color w:val="1155CC"/>
            <w:u w:val="single"/>
          </w:rPr>
          <w:t xml:space="preserve">Collins &amp; Varmus, NEJM 2015</w:t>
        </w:r>
      </w:hyperlink>
      <w:r>
        <w:rPr>
          <w:sz w:val="22"/>
        </w:rPr>
        <w:t xml:space="preserve">; </w:t>
      </w:r>
      <w:hyperlink r:id="rId10">
        <w:r>
          <w:rPr>
            <w:color w:val="1155CC"/>
            <w:u w:val="single"/>
          </w:rPr>
          <w:t xml:space="preserve">PMI Working Group report, NIH 2015</w:t>
        </w:r>
      </w:hyperlink>
      <w:r>
        <w:rPr>
          <w:sz w:val="22"/>
        </w:rPr>
        <w:t xml:space="preserve">; </w:t>
      </w:r>
      <w:hyperlink r:id="rId11">
        <w:r>
          <w:rPr>
            <w:color w:val="1155CC"/>
            <w:u w:val="single"/>
          </w:rPr>
          <w:t xml:space="preserve">All of Us Program, NEJM 2019</w:t>
        </w:r>
      </w:hyperlink>
      <w:r>
        <w:rPr>
          <w:sz w:val="22"/>
        </w:rPr>
        <w:t>). That diversity mandate is not a side constraint; it is the scientific thesis of the program, because the genetic and clinical signals that matter for most of the population are the ones that European-ancestry-dominated cohorts systematically miss (</w:t>
      </w:r>
      <w:hyperlink r:id="rId12">
        <w:r>
          <w:rPr>
            <w:color w:val="1155CC"/>
            <w:u w:val="single"/>
          </w:rPr>
          <w:t xml:space="preserve">Mapes et al., PLoS ONE 2020</w:t>
        </w:r>
      </w:hyperlink>
      <w:r>
        <w:rPr>
          <w:sz w:val="22"/>
        </w:rPr>
        <w:t>).</w:t>
      </w:r>
    </w:p>
    <w:p>
      <w:r>
        <w:rPr>
          <w:sz w:val="22"/>
        </w:rPr>
        <w:t>A scientific roadmap exists to turn that thesis into shared priorities. The 2020 roadmap established the eight focus areas that still organize the program's science today. Three things have changed enough since then to warrant a refresh. First, the corpus is now large and mature enough to analyze: the program has produced thousands of publications and tens of thousands of researcher workspaces, so we can ask what the community actually studies rather than what we assume it does. Second, the frontier has moved. The center of gravity in biomedical computation has shifted toward foundation models and multi-modal AI, a shift that was barely visible when the roadmap was written (</w:t>
      </w:r>
      <w:hyperlink r:id="rId13">
        <w:r>
          <w:rPr>
            <w:color w:val="1155CC"/>
            <w:u w:val="single"/>
          </w:rPr>
          <w:t xml:space="preserve">Denny &amp; Collins, Cell 2021</w:t>
        </w:r>
      </w:hyperlink>
      <w:r>
        <w:rPr>
          <w:sz w:val="22"/>
        </w:rPr>
        <w:t>). Third, the peer cohorts are competing for the same questions, so All of Us must be deliberate about where it is distinctive and where it is merely following. Our contribution is to refresh the roadmap from evidence: the program's own output and the external field, rather than from opinion alone.</w:t>
      </w:r>
    </w:p>
    <w:p>
      <w:pPr>
        <w:pStyle w:val="Heading1"/>
      </w:pPr>
      <w:r>
        <w:t>2. How we did this analysis</w:t>
      </w:r>
    </w:p>
    <w:p>
      <w:r>
        <w:rPr>
          <w:sz w:val="22"/>
        </w:rPr>
        <w:t>Every finding below traces to a reproducible pipeline (public repository) run over two bodies of evidence: the program's own output and the external literature. We summarize the pipeline here because the method is what makes the conclusions defensible, and because it is itself reusable for tracking the roadmap over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Step</w:t>
            </w:r>
          </w:p>
        </w:tc>
        <w:tc>
          <w:tcPr>
            <w:tcW w:type="dxa" w:w="2880"/>
          </w:tcPr>
          <w:p>
            <w:r>
              <w:rPr>
                <w:b/>
                <w:sz w:val="19"/>
              </w:rPr>
              <w:t>What we did</w:t>
            </w:r>
          </w:p>
        </w:tc>
        <w:tc>
          <w:tcPr>
            <w:tcW w:type="dxa" w:w="2880"/>
          </w:tcPr>
          <w:p>
            <w:r>
              <w:rPr>
                <w:b/>
                <w:sz w:val="19"/>
              </w:rPr>
              <w:t>What it answers</w:t>
            </w:r>
          </w:p>
        </w:tc>
      </w:tr>
      <w:tr>
        <w:tc>
          <w:tcPr>
            <w:tcW w:type="dxa" w:w="2880"/>
          </w:tcPr>
          <w:p>
            <w:r>
              <w:rPr>
                <w:sz w:val="19"/>
              </w:rPr>
              <w:t>1. Inventory the corpus</w:t>
            </w:r>
          </w:p>
        </w:tc>
        <w:tc>
          <w:tcPr>
            <w:tcW w:type="dxa" w:w="2880"/>
          </w:tcPr>
          <w:p>
            <w:r>
              <w:rPr>
                <w:sz w:val="19"/>
              </w:rPr>
              <w:t>Pulled All of Us publications from the program's publications feed (reconciled to PubMed and iCite) and workspace projects live from the production project-directory API.</w:t>
            </w:r>
          </w:p>
        </w:tc>
        <w:tc>
          <w:tcPr>
            <w:tcW w:type="dxa" w:w="2880"/>
          </w:tcPr>
          <w:p>
            <w:r>
              <w:rPr>
                <w:sz w:val="19"/>
              </w:rPr>
              <w:t>What has All of Us produced?</w:t>
            </w:r>
          </w:p>
        </w:tc>
      </w:tr>
      <w:tr>
        <w:tc>
          <w:tcPr>
            <w:tcW w:type="dxa" w:w="2880"/>
          </w:tcPr>
          <w:p>
            <w:r>
              <w:rPr>
                <w:sz w:val="19"/>
              </w:rPr>
              <w:t>2. Tag by theme</w:t>
            </w:r>
          </w:p>
        </w:tc>
        <w:tc>
          <w:tcPr>
            <w:tcW w:type="dxa" w:w="2880"/>
          </w:tcPr>
          <w:p>
            <w:r>
              <w:rPr>
                <w:sz w:val="19"/>
              </w:rPr>
              <w:t>Applied a locked 19-theme taxonomy using keyword rules over title and abstract, plus a full-text layer where open-access full text exists.</w:t>
            </w:r>
          </w:p>
        </w:tc>
        <w:tc>
          <w:tcPr>
            <w:tcW w:type="dxa" w:w="2880"/>
          </w:tcPr>
          <w:p>
            <w:r>
              <w:rPr>
                <w:sz w:val="19"/>
              </w:rPr>
              <w:t>What is the science actually about?</w:t>
            </w:r>
          </w:p>
        </w:tc>
      </w:tr>
      <w:tr>
        <w:tc>
          <w:tcPr>
            <w:tcW w:type="dxa" w:w="2880"/>
          </w:tcPr>
          <w:p>
            <w:r>
              <w:rPr>
                <w:sz w:val="19"/>
              </w:rPr>
              <w:t>3. Map to NIH and attribute funding</w:t>
            </w:r>
          </w:p>
        </w:tc>
        <w:tc>
          <w:tcPr>
            <w:tcW w:type="dxa" w:w="2880"/>
          </w:tcPr>
          <w:p>
            <w:r>
              <w:rPr>
                <w:sz w:val="19"/>
              </w:rPr>
              <w:t>Matched themes to 29 NIH strategic plans (166 extracted priorities) and resolved publication grant IDs to administering and co-funding Institutes via NIH RePORTER.</w:t>
            </w:r>
          </w:p>
        </w:tc>
        <w:tc>
          <w:tcPr>
            <w:tcW w:type="dxa" w:w="2880"/>
          </w:tcPr>
          <w:p>
            <w:r>
              <w:rPr>
                <w:sz w:val="19"/>
              </w:rPr>
              <w:t>Which NIH priorities and Institutes does the work serve?</w:t>
            </w:r>
          </w:p>
        </w:tc>
      </w:tr>
      <w:tr>
        <w:tc>
          <w:tcPr>
            <w:tcW w:type="dxa" w:w="2880"/>
          </w:tcPr>
          <w:p>
            <w:r>
              <w:rPr>
                <w:sz w:val="19"/>
              </w:rPr>
              <w:t>4. Compare to peer biobanks</w:t>
            </w:r>
          </w:p>
        </w:tc>
        <w:tc>
          <w:tcPr>
            <w:tcW w:type="dxa" w:w="2880"/>
          </w:tcPr>
          <w:p>
            <w:r>
              <w:rPr>
                <w:sz w:val="19"/>
              </w:rPr>
              <w:t>Pulled UK Biobank, FinnGen, the Million Veteran Program, and China Kadoorie by full-census name-search and tagged them with the same tagger, then computed a static theme-share index.</w:t>
            </w:r>
          </w:p>
        </w:tc>
        <w:tc>
          <w:tcPr>
            <w:tcW w:type="dxa" w:w="2880"/>
          </w:tcPr>
          <w:p>
            <w:r>
              <w:rPr>
                <w:sz w:val="19"/>
              </w:rPr>
              <w:t>How does All of Us differ from comparable cohorts?</w:t>
            </w:r>
          </w:p>
        </w:tc>
      </w:tr>
      <w:tr>
        <w:tc>
          <w:tcPr>
            <w:tcW w:type="dxa" w:w="2880"/>
          </w:tcPr>
          <w:p>
            <w:r>
              <w:rPr>
                <w:sz w:val="19"/>
              </w:rPr>
              <w:t>5. Scan the frontier and benchmark the platform</w:t>
            </w:r>
          </w:p>
        </w:tc>
        <w:tc>
          <w:tcPr>
            <w:tcW w:type="dxa" w:w="2880"/>
          </w:tcPr>
          <w:p>
            <w:r>
              <w:rPr>
                <w:sz w:val="19"/>
              </w:rPr>
              <w:t>Ran term-acceleration over 322,138 preprints and 460,285 NIH grants (2021 to 2026), induced emerging topics, and overlaid data-feasibility; benchmarked the Researcher Workbench against five comparator platforms; scored recommendations on an 8-criterion rubric.</w:t>
            </w:r>
          </w:p>
        </w:tc>
        <w:tc>
          <w:tcPr>
            <w:tcW w:type="dxa" w:w="2880"/>
          </w:tcPr>
          <w:p>
            <w:r>
              <w:rPr>
                <w:sz w:val="19"/>
              </w:rPr>
              <w:t>What is rising that All of Us has not claimed, and what should it build?</w:t>
            </w:r>
          </w:p>
        </w:tc>
      </w:tr>
    </w:tbl>
    <w:p/>
    <w:p>
      <w:r>
        <w:rPr>
          <w:sz w:val="22"/>
        </w:rPr>
        <w:t>The numbers behind the pipeline: 1,657 publications (1,653 substantive); 32,922 workspaces (20,165 substantive) from a live 2026-10-14 pull, re-verified unchanged on 2026-10-21; 29 strategic plans; 166 priorities; four peer biobanks (UK Biobank 12,986, FinnGen 3,376, MVP 501, China Kadoorie 588); 322,138 preprints and 460,285 grants; and a Workbench benchmark in which all 87 platform claims were fetch-verified against a cited source.</w:t>
      </w:r>
    </w:p>
    <w:p>
      <w:r>
        <w:rPr>
          <w:sz w:val="22"/>
        </w:rPr>
        <w:t>Three interpretive cautions travel with every result. Peer comparisons are most reliable as relative emphasis, each cohort's mix of topics, not as head-to-head growth rates, because the peer corpora are name-search-based and unaudited; we therefore read the static share index, not trend differentials. Workspace text describes researchers' self-described intent, not executed code, so workspace percentages are directional. And keyword tagging is directional rather than per-record classification, though it is order-of-magnitude robust and validated against the methods All of Us is known for. Our analytic choices build on the common-data-model and phenome-wide foundations that make EHR-linked cohorts computable in the first place (</w:t>
      </w:r>
      <w:hyperlink r:id="rId14">
        <w:r>
          <w:rPr>
            <w:color w:val="1155CC"/>
            <w:u w:val="single"/>
          </w:rPr>
          <w:t xml:space="preserve">Overhage et al. (OMOP CDM), JAMIA 2012</w:t>
        </w:r>
      </w:hyperlink>
      <w:r>
        <w:rPr>
          <w:sz w:val="22"/>
        </w:rPr>
        <w:t xml:space="preserve">; </w:t>
      </w:r>
      <w:hyperlink r:id="rId15">
        <w:r>
          <w:rPr>
            <w:color w:val="1155CC"/>
            <w:u w:val="single"/>
          </w:rPr>
          <w:t xml:space="preserve">Denny et al. (PheWAS), Bioinformatics 2010</w:t>
        </w:r>
      </w:hyperlink>
      <w:r>
        <w:rPr>
          <w:sz w:val="22"/>
        </w:rPr>
        <w:t>).</w:t>
      </w:r>
    </w:p>
    <w:p>
      <w:pPr>
        <w:pStyle w:val="Heading1"/>
      </w:pPr>
      <w:r>
        <w:t>3. The All of Us research landscape</w:t>
      </w:r>
    </w:p>
    <w:p>
      <w:r>
        <w:rPr>
          <w:sz w:val="22"/>
        </w:rPr>
        <w:t>The eight focus areas describe most of the program's science well, and that is the first and most reassuring finding: the framework is not broken. The theme distribution maps cleanly onto the focus areas, and the program's flagship genomic and data releases anchor a genuinely multi-modal resource of linked EHR, surveys, physical measures, wearables, and diverse whole-genome sequencing (</w:t>
      </w:r>
      <w:hyperlink r:id="rId16">
        <w:r>
          <w:rPr>
            <w:color w:val="1155CC"/>
            <w:u w:val="single"/>
          </w:rPr>
          <w:t xml:space="preserve">All of Us Genomic Data, Nature 2024</w:t>
        </w:r>
      </w:hyperlink>
      <w:r>
        <w:rPr>
          <w:sz w:val="22"/>
        </w:rPr>
        <w:t xml:space="preserve">; </w:t>
      </w:r>
      <w:hyperlink r:id="rId17">
        <w:r>
          <w:rPr>
            <w:color w:val="1155CC"/>
            <w:u w:val="single"/>
          </w:rPr>
          <w:t xml:space="preserve">Ramirez et al., Patterns 2022</w:t>
        </w:r>
      </w:hyperlink>
      <w:r>
        <w:rPr>
          <w:sz w:val="22"/>
        </w:rPr>
        <w:t xml:space="preserve">; </w:t>
      </w:r>
      <w:hyperlink r:id="rId18">
        <w:r>
          <w:rPr>
            <w:color w:val="1155CC"/>
            <w:u w:val="single"/>
          </w:rPr>
          <w:t xml:space="preserve">Lederer et al. (Fitbit), JMIR 2023</w:t>
        </w:r>
      </w:hyperlink>
      <w:r>
        <w:rPr>
          <w:sz w:val="22"/>
        </w:rPr>
        <w:t>).</w:t>
      </w:r>
    </w:p>
    <w:p>
      <w:r>
        <w:rPr>
          <w:sz w:val="22"/>
        </w:rPr>
        <w:t>Three bodies of work, however, have outgrown the framework. Data science and AI methods now account for roughly a fifth of the program's publications but have no focus area of their own. Wearable and remote-monitoring research has become a distinct field rather than an accessory to other areas. And multi-omics, as proteomics and metabolomics arrive at scale, is still buried inside "Genetics &amp; Biology" where it is easy to overlook. Funding attribution reinforces the pan-NIH character of the program: the work is overwhelmingly Office-of-the-Director funded by design, with strong secondary alignment to the genomics, heart and lung, and cancer Institutes, which argues for positioning All of Us explicitly as shared NIH-wide infrastructure.</w:t>
      </w:r>
    </w:p>
    <w:p>
      <w:r>
        <w:rPr>
          <w:sz w:val="22"/>
        </w:rPr>
        <w:t>The most important landscape finding is temporal rather than thematic. The newest science in the program is not yet in the publication record at all; it is in the researcher workspaces. The ancillary, or partnered, studies add entirely new modalities on top of the core protocol: Exploring the Mind contributes objective cognitive and behavioral data, Eyes on Health contributes retinal imaging for oculomics, Nutrition for Precision Health contributes deep dietary phenotyping, and Environmental Health and Exposomics contributes environmental biomarkers. Several of these post-date the 2020 roadmap and are only now releasing data, so they are nearly absent from publications. Yet they are already visible, and growing, in what researchers are building. Exploring the Mind has zero publications or preprints anywhere, verified against Europe PMC, and yet it appears in 32 workspaces, 27 of which were invisible in the previous cached snapshot and surfaced only when we pulled the live production registry. The lesson is methodological and strategic at once: workspace activity leads publications by a year or more, so ancillary studies must be scored on their stated goals and their live workspace footprint, and the program must analyze a live census rather than a stale one. The same live signal shows the Multi-Omics Working Group generating RNA-seq, Olink proteomics, and long-read sequencing on roughly ten thousand diverse participants, and a newly posted mechanism for external investigators to request biospecimens, developments that the publication-based view would miss entirely (</w:t>
      </w:r>
      <w:hyperlink r:id="rId19">
        <w:r>
          <w:rPr>
            <w:color w:val="1155CC"/>
            <w:u w:val="single"/>
          </w:rPr>
          <w:t xml:space="preserve">NIH Partnered Research Studies</w:t>
        </w:r>
      </w:hyperlink>
      <w:r>
        <w:rPr>
          <w:sz w:val="22"/>
        </w:rPr>
        <w:t xml:space="preserve">; </w:t>
      </w:r>
      <w:hyperlink r:id="rId20">
        <w:r>
          <w:rPr>
            <w:color w:val="1155CC"/>
            <w:u w:val="single"/>
          </w:rPr>
          <w:t xml:space="preserve">Cohn et al. (Women's Health Driver Project), J Women's Health 2026</w:t>
        </w:r>
      </w:hyperlink>
      <w:r>
        <w:rPr>
          <w:sz w:val="22"/>
        </w:rPr>
        <w:t>).</w:t>
      </w:r>
    </w:p>
    <w:p>
      <w:pPr>
        <w:pStyle w:val="Heading1"/>
      </w:pPr>
      <w:r>
        <w:t>4. Benchmarking against peer biobanks</w:t>
      </w:r>
    </w:p>
    <w:p>
      <w:r>
        <w:rPr>
          <w:sz w:val="22"/>
        </w:rPr>
        <w:t>Compared against UK Biobank, FinnGen, the Million Veteran Program, and China Kadoorie, using the same tagger on full-census corpora and reading relative emphasis rather than absolute counts, All of Us has a distinctive identity that is worth stating plainly because it is the program's durable advantage. All of Us leads the peer median, often by large margins, on social-determinants and health-equity research, on ethics and participant engagement, on pharmacogenomics, and on analytic methods. These are not accidents; they are what a diverse, consented, broadly phenotyped national cohort is uniquely able to produce (</w:t>
      </w:r>
      <w:hyperlink r:id="rId21">
        <w:r>
          <w:rPr>
            <w:color w:val="1155CC"/>
            <w:u w:val="single"/>
          </w:rPr>
          <w:t xml:space="preserve">Sudlow et al. (UK Biobank), PLoS Med 2015</w:t>
        </w:r>
      </w:hyperlink>
      <w:r>
        <w:rPr>
          <w:sz w:val="22"/>
        </w:rPr>
        <w:t xml:space="preserve">; </w:t>
      </w:r>
      <w:hyperlink r:id="rId22">
        <w:r>
          <w:rPr>
            <w:color w:val="1155CC"/>
            <w:u w:val="single"/>
          </w:rPr>
          <w:t xml:space="preserve">Gaziano et al. (MVP), J Clin Epidemiol 2016</w:t>
        </w:r>
      </w:hyperlink>
      <w:r>
        <w:rPr>
          <w:sz w:val="22"/>
        </w:rPr>
        <w:t xml:space="preserve">; </w:t>
      </w:r>
      <w:hyperlink r:id="rId23">
        <w:r>
          <w:rPr>
            <w:color w:val="1155CC"/>
            <w:u w:val="single"/>
          </w:rPr>
          <w:t xml:space="preserve">Kurki et al. (FinnGen), Nature 2023</w:t>
        </w:r>
      </w:hyperlink>
      <w:r>
        <w:rPr>
          <w:sz w:val="22"/>
        </w:rPr>
        <w:t xml:space="preserve">; </w:t>
      </w:r>
      <w:hyperlink r:id="rId24">
        <w:r>
          <w:rPr>
            <w:color w:val="1155CC"/>
            <w:u w:val="single"/>
          </w:rPr>
          <w:t xml:space="preserve">Chen et al. (China Kadoorie), Int J Epidemiol 2011</w:t>
        </w:r>
      </w:hyperlink>
      <w:r>
        <w:rPr>
          <w:sz w:val="22"/>
        </w:rPr>
        <w:t>).</w:t>
      </w:r>
    </w:p>
    <w:p>
      <w:r>
        <w:rPr>
          <w:sz w:val="22"/>
        </w:rPr>
        <w:t>The program also genuinely trails in the five areas the Science Committee identified: imaging and multi-omics, which are data-modality gaps; aging research; rare disease, where All of Us is the most under-indexed relative to peers at roughly a quarter of the peer median; and environmental and social data. The right response is to separate the two kinds of gap. Some are addressable now and already being closed: rare-disease discovery is a natural fit for the program's diverse long-read sequencing, and the environmental gap is being closed directly by the November 2, 2026 data release and the Exposomics ancillary study. Others simply reflect a peer's by-design emphasis, FinnGen's founder-population concentration on rare disease and genetics, or China Kadoorie's focus on stroke and neurology, and chasing those would mean abandoning what makes All of Us distinctive. The deeper point, underscored by the diversity literature, is that representativeness is itself a scientific asset: polygenic scores and many genetic findings are far less accurate outside European-ancestry populations, so a cohort built for diversity is positioned to correct the field rather than merely add to it (</w:t>
      </w:r>
      <w:hyperlink r:id="rId25">
        <w:r>
          <w:rPr>
            <w:color w:val="1155CC"/>
            <w:u w:val="single"/>
          </w:rPr>
          <w:t xml:space="preserve">Sirugo et al. (missing diversity), Cell 2019</w:t>
        </w:r>
      </w:hyperlink>
      <w:r>
        <w:rPr>
          <w:sz w:val="22"/>
        </w:rPr>
        <w:t xml:space="preserve">; </w:t>
      </w:r>
      <w:hyperlink r:id="rId26">
        <w:r>
          <w:rPr>
            <w:color w:val="1155CC"/>
            <w:u w:val="single"/>
          </w:rPr>
          <w:t xml:space="preserve">Martin et al. (PRS &amp; equity), Nat Genet 2019</w:t>
        </w:r>
      </w:hyperlink>
      <w:r>
        <w:rPr>
          <w:sz w:val="22"/>
        </w:rPr>
        <w:t xml:space="preserve">; </w:t>
      </w:r>
      <w:hyperlink r:id="rId27">
        <w:r>
          <w:rPr>
            <w:color w:val="1155CC"/>
            <w:u w:val="single"/>
          </w:rPr>
          <w:t xml:space="preserve">Fry et al. (representativeness), Am J Epidemiol 2017</w:t>
        </w:r>
      </w:hyperlink>
      <w:r>
        <w:rPr>
          <w:sz w:val="22"/>
        </w:rPr>
        <w:t>).</w:t>
      </w:r>
    </w:p>
    <w:p>
      <w:pPr>
        <w:pStyle w:val="Heading1"/>
      </w:pPr>
      <w:r>
        <w:t>5. Emerging scientific frontiers and All of Us white space</w:t>
      </w:r>
    </w:p>
    <w:p>
      <w:r>
        <w:rPr>
          <w:sz w:val="22"/>
        </w:rPr>
        <w:t>The horizon scan asks a different question than the corpus analysis: not what All of Us studies, but what the field is accelerating toward that All of Us has not yet claimed. Running term-acceleration over hundreds of thousands of preprints and grants and then filtering to what the program's data can actually support, the answer is unambiguous. The fastest-rising frontier in biomedicine is AI and foundation models: genomic and DNA language models, large language and agentic AI systems, and multimodal modeling. All of Us is almost entirely absent from all of it, under roughly 0.3% of its work on nearly every one of these topics (</w:t>
      </w:r>
      <w:hyperlink r:id="rId28">
        <w:r>
          <w:rPr>
            <w:color w:val="1155CC"/>
            <w:u w:val="single"/>
          </w:rPr>
          <w:t xml:space="preserve">Moor et al. (generalist medical AI), Nature 2023</w:t>
        </w:r>
      </w:hyperlink>
      <w:r>
        <w:rPr>
          <w:sz w:val="22"/>
        </w:rPr>
        <w:t xml:space="preserve">; </w:t>
      </w:r>
      <w:hyperlink r:id="rId29">
        <w:r>
          <w:rPr>
            <w:color w:val="1155CC"/>
            <w:u w:val="single"/>
          </w:rPr>
          <w:t xml:space="preserve">Singhal et al. (Med-PaLM), Nature 2023</w:t>
        </w:r>
      </w:hyperlink>
      <w:r>
        <w:rPr>
          <w:sz w:val="22"/>
        </w:rPr>
        <w:t xml:space="preserve">; </w:t>
      </w:r>
      <w:hyperlink r:id="rId30">
        <w:r>
          <w:rPr>
            <w:color w:val="1155CC"/>
            <w:u w:val="single"/>
          </w:rPr>
          <w:t xml:space="preserve">Dalla-Torre et al. (Nucleotide Transformer), Nat Methods 2025</w:t>
        </w:r>
      </w:hyperlink>
      <w:r>
        <w:rPr>
          <w:sz w:val="22"/>
        </w:rPr>
        <w:t xml:space="preserve">; </w:t>
      </w:r>
      <w:hyperlink r:id="rId31">
        <w:r>
          <w:rPr>
            <w:color w:val="1155CC"/>
            <w:u w:val="single"/>
          </w:rPr>
          <w:t xml:space="preserve">Nguyen et al. (Evo), Science 2024</w:t>
        </w:r>
      </w:hyperlink>
      <w:r>
        <w:rPr>
          <w:sz w:val="22"/>
        </w:rPr>
        <w:t xml:space="preserve">; </w:t>
      </w:r>
      <w:hyperlink r:id="rId32">
        <w:r>
          <w:rPr>
            <w:color w:val="1155CC"/>
            <w:u w:val="single"/>
          </w:rPr>
          <w:t xml:space="preserve">Acosta et al. (multimodal biomedical AI), Nat Med 2022</w:t>
        </w:r>
      </w:hyperlink>
      <w:r>
        <w:rPr>
          <w:sz w:val="22"/>
        </w:rPr>
        <w:t>).</w:t>
      </w:r>
    </w:p>
    <w:p>
      <w:r>
        <w:rPr>
          <w:sz w:val="22"/>
        </w:rPr>
        <w:t>Absence is not the same as opportunity, so the feasibility overlay matters. The highest-leverage gap is genomic foundation models, because the program's diverse, consented whole-genome data linked to longitudinal EHR is arguably the best public substrate in the world for training and evaluating ancestry-fair models, a substrate no peer biobank can match. Close behind are in-environment large-language-model and agentic workflows, which require the text and the compute platform the program already has. A few non-AI shifts are worth adopting opportunistically, notably the MASLD and MASH nomenclature change, which is a low-effort, high-credibility EHR phenotype, and target-trial-emulation methods for causal inference on the program's longitudinal records (</w:t>
      </w:r>
      <w:hyperlink r:id="rId33">
        <w:r>
          <w:rPr>
            <w:color w:val="1155CC"/>
            <w:u w:val="single"/>
          </w:rPr>
          <w:t xml:space="preserve">Rinella et al. (MASLD nomenclature), Hepatology 2023</w:t>
        </w:r>
      </w:hyperlink>
      <w:r>
        <w:rPr>
          <w:sz w:val="22"/>
        </w:rPr>
        <w:t xml:space="preserve">; </w:t>
      </w:r>
      <w:hyperlink r:id="rId34">
        <w:r>
          <w:rPr>
            <w:color w:val="1155CC"/>
            <w:u w:val="single"/>
          </w:rPr>
          <w:t xml:space="preserve">Hernán &amp; Robins (target-trial emulation), Am J Epidemiol 2016</w:t>
        </w:r>
      </w:hyperlink>
      <w:r>
        <w:rPr>
          <w:sz w:val="22"/>
        </w:rPr>
        <w:t>). Just as important is the boundary: single-cell and spatial tissue omics and AI protein-structure prediction are genuine frontiers that require assays All of Us does not generate, so the program should be the population-scale partner that links those discoveries to diverse human phenotypes rather than trying to reproduce them (</w:t>
      </w:r>
      <w:hyperlink r:id="rId35">
        <w:r>
          <w:rPr>
            <w:color w:val="1155CC"/>
            <w:u w:val="single"/>
          </w:rPr>
          <w:t xml:space="preserve">Jumper et al. (AlphaFold), Nature 2021</w:t>
        </w:r>
      </w:hyperlink>
      <w:r>
        <w:rPr>
          <w:sz w:val="22"/>
        </w:rPr>
        <w:t>).</w:t>
      </w:r>
    </w:p>
    <w:p>
      <w:pPr>
        <w:pStyle w:val="Heading1"/>
      </w:pPr>
      <w:r>
        <w:t>6. The analysis platform: the Researcher Workbench</w:t>
      </w:r>
    </w:p>
    <w:p>
      <w:r>
        <w:rPr>
          <w:sz w:val="22"/>
        </w:rPr>
        <w:t>Science is bounded by what the platform permits, so the refresh must look at the Researcher Workbench and not only at the data. Benchmarked against five comparator platforms, N3C, Terra and AnVIL, BioData Catalyst, the UK Biobank Research Analysis Platform, and Kids First, with every claim verified against a cited source, the Workbench leads on data assets and on AI-grade compute. Its deficiencies are not in data or raw compute; they are in the capabilities that turn data and compute into shared, reusable, AI-enabled science (</w:t>
      </w:r>
      <w:hyperlink r:id="rId36">
        <w:r>
          <w:rPr>
            <w:color w:val="1155CC"/>
            <w:u w:val="single"/>
          </w:rPr>
          <w:t xml:space="preserve">Haendel et al. (N3C), JAMIA 2021</w:t>
        </w:r>
      </w:hyperlink>
      <w:r>
        <w:rPr>
          <w:sz w:val="22"/>
        </w:rPr>
        <w:t xml:space="preserve">; </w:t>
      </w:r>
      <w:hyperlink r:id="rId37">
        <w:r>
          <w:rPr>
            <w:color w:val="1155CC"/>
            <w:u w:val="single"/>
          </w:rPr>
          <w:t xml:space="preserve">Schatz et al. (AnVIL), Cell Genomics 2022</w:t>
        </w:r>
      </w:hyperlink>
      <w:r>
        <w:rPr>
          <w:sz w:val="22"/>
        </w:rPr>
        <w:t xml:space="preserve">; </w:t>
      </w:r>
      <w:hyperlink r:id="rId38">
        <w:r>
          <w:rPr>
            <w:color w:val="1155CC"/>
            <w:u w:val="single"/>
          </w:rPr>
          <w:t xml:space="preserve">Ahalt et al. (BioData Catalyst), JAMIA 2023</w:t>
        </w:r>
      </w:hyperlink>
      <w:r>
        <w:rPr>
          <w:sz w:val="22"/>
        </w:rPr>
        <w:t>).</w:t>
      </w:r>
    </w:p>
    <w:p>
      <w:r>
        <w:rPr>
          <w:sz w:val="22"/>
        </w:rPr>
        <w:t>Three gaps are remediable and clear. First, there is no shared registry for reusing analytical tools and workflows, a capability every comparator offers through Dockstore, public app galleries, or branching and export, whereas the Workbench documents only basic workspace sharing (</w:t>
      </w:r>
      <w:hyperlink r:id="rId39">
        <w:r>
          <w:rPr>
            <w:color w:val="1155CC"/>
            <w:u w:val="single"/>
          </w:rPr>
          <w:t xml:space="preserve">O'Connor et al. (Dockstore), F1000Research 2017</w:t>
        </w:r>
      </w:hyperlink>
      <w:r>
        <w:rPr>
          <w:sz w:val="22"/>
        </w:rPr>
        <w:t>). Second, there is no governed in-environment AI assistant: the program ships bring-your-own-key tools that cannot compliantly process participant data, and no comparator yet offers a strong governed model either, which means this is a gap All of Us could lead rather than trail. Because the program runs on Google Cloud, whose business-associate agreement already covers Vertex AI and Gemini, a program-credentialed in-VPC model is a provisioning and governance task, not a legal blocker. Third, there is no portable, interoperable workflow standard, so analyses are not packaged to move or be reused across teams and platforms (</w:t>
      </w:r>
      <w:hyperlink r:id="rId40">
        <w:r>
          <w:rPr>
            <w:color w:val="1155CC"/>
            <w:u w:val="single"/>
          </w:rPr>
          <w:t xml:space="preserve">Wilkinson et al. (FAIR), Sci Data 2016</w:t>
        </w:r>
      </w:hyperlink>
      <w:r>
        <w:rPr>
          <w:sz w:val="22"/>
        </w:rPr>
        <w:t xml:space="preserve">; </w:t>
      </w:r>
      <w:hyperlink r:id="rId41">
        <w:r>
          <w:rPr>
            <w:color w:val="1155CC"/>
            <w:u w:val="single"/>
          </w:rPr>
          <w:t xml:space="preserve">Rehm et al. (GA4GH), Cell Genomics 2021</w:t>
        </w:r>
      </w:hyperlink>
      <w:r>
        <w:rPr>
          <w:sz w:val="22"/>
        </w:rPr>
        <w:t>). The workspace census makes the cost of these gaps concrete: 87.7% of workspaces are solo, only 3.2% are multi-institution, and about 18% are duplicate-titled, most of them tutorial clones. The observable pattern is copy-a-tutorial, not build-on-each-other. Strikingly, a confidential 2026 ACT-IAC and All of Us white paper built from stakeholder interviews, a method entirely different from ours, independently reaches the same three conclusions, which is strong triangulation that the gaps are real and the fixes are known.</w:t>
      </w:r>
    </w:p>
    <w:p>
      <w:pPr>
        <w:pStyle w:val="Heading1"/>
      </w:pPr>
      <w:r>
        <w:t>7. Recommendations for the refreshed roadmap</w:t>
      </w:r>
    </w:p>
    <w:p>
      <w:r>
        <w:rPr>
          <w:sz w:val="22"/>
        </w:rPr>
        <w:t>The recommendations follow directly from the evidence. Keep the eight focus areas, which still work, and add a ninth, "Data, AI &amp; Methods," to give the field's fastest-rising work a coherent home. Rename the genetics focus area to "Genetics, Multi-omics &amp; Biology" and pair the rename with a concrete proteomics-release roadmap, so the structural signal and the data investment move together. Build the three missing Workbench capabilities: a governed in-environment AI co-scientist, a reusable-tools registry, and multimodal-data templates. Most ambitiously, and unifying the single highest-leverage opportunity with the clearest platform gap, build an internal All of Us foundation model hosted securely with no data egress, guided by the program "super user group" that the committee has proposed, so that the diverse genomic and clinical substrate becomes a model the whole community can use without data ever leaving the enclave.</w:t>
      </w:r>
    </w:p>
    <w:p>
      <w:r>
        <w:rPr>
          <w:sz w:val="22"/>
        </w:rPr>
        <w:t>Alongside the structural changes, the program should adopt its own 2026 ideas as standing mechanisms. The driver-project model, which the Women's Health Driver Project demonstrated, should become routine, with rare-disease and intersectional driver papers (for example, rare disease combined with rurality) as explicit near-term deliverables that attack the rare-disease gap using the program's diversity. Generalizability weighting should become a first-class Workbench capability so that findings from a volunteer cohort can speak for the whole US population, promoting the released survey-weighting toolkit to documented, reusable infrastructure and connecting it to the new external-biospecimen-request mechanism. Throughout, the program must protect its distinctive strengths and govern its AI responsibly, because an equity-first cohort cannot afford to deploy models that widen the disparities it exists to close (</w:t>
      </w:r>
      <w:hyperlink r:id="rId42">
        <w:r>
          <w:rPr>
            <w:color w:val="1155CC"/>
            <w:u w:val="single"/>
          </w:rPr>
          <w:t xml:space="preserve">Obermeyer et al. (algorithmic bias), Science 2019</w:t>
        </w:r>
      </w:hyperlink>
      <w:r>
        <w:rPr>
          <w:sz w:val="22"/>
        </w:rPr>
        <w:t xml:space="preserve">; </w:t>
      </w:r>
      <w:hyperlink r:id="rId43">
        <w:r>
          <w:rPr>
            <w:color w:val="1155CC"/>
            <w:u w:val="single"/>
          </w:rPr>
          <w:t xml:space="preserve">Wiens et al. (responsible ML), Nat Med 2019</w:t>
        </w:r>
      </w:hyperlink>
      <w:r>
        <w:rPr>
          <w:sz w:val="22"/>
        </w:rPr>
        <w:t xml:space="preserve">; </w:t>
      </w:r>
      <w:hyperlink r:id="rId44">
        <w:r>
          <w:rPr>
            <w:color w:val="1155CC"/>
            <w:u w:val="single"/>
          </w:rPr>
          <w:t xml:space="preserve">Rajkomar et al. (fairness), Ann Intern Med 2018</w:t>
        </w:r>
      </w:hyperlink>
      <w:r>
        <w:rPr>
          <w:sz w:val="22"/>
        </w:rPr>
        <w:t xml:space="preserve">; </w:t>
      </w:r>
      <w:hyperlink r:id="rId45">
        <w:r>
          <w:rPr>
            <w:color w:val="1155CC"/>
            <w:u w:val="single"/>
          </w:rPr>
          <w:t xml:space="preserve">Char et al. (ethical ML), NEJM 2018</w:t>
        </w:r>
      </w:hyperlink>
      <w:r>
        <w:rPr>
          <w:sz w:val="22"/>
        </w:rPr>
        <w:t xml:space="preserve">; </w:t>
      </w:r>
      <w:hyperlink r:id="rId46">
        <w:r>
          <w:rPr>
            <w:color w:val="1155CC"/>
            <w:u w:val="single"/>
          </w:rPr>
          <w:t xml:space="preserve">Montgomery et al. (generalizability), Am J Epidemiol 2026</w:t>
        </w:r>
      </w:hyperlink>
      <w:r>
        <w:rPr>
          <w:sz w:val="22"/>
        </w:rPr>
        <w:t xml:space="preserve">; </w:t>
      </w:r>
      <w:hyperlink r:id="rId20">
        <w:r>
          <w:rPr>
            <w:color w:val="1155CC"/>
            <w:u w:val="single"/>
          </w:rPr>
          <w:t xml:space="preserve">Cohn et al. (driver-paper model), J Women's Health 2026</w:t>
        </w:r>
      </w:hyperlink>
      <w:r>
        <w:rPr>
          <w:sz w:val="22"/>
        </w:rPr>
        <w:t>). Finally, the roadmap should be measured over time by re-running the same corpus methods, so that the program can see where its science is actually going rather than where it intended to go.</w:t>
      </w:r>
    </w:p>
    <w:p>
      <w:pPr>
        <w:pStyle w:val="Heading1"/>
      </w:pPr>
      <w:r>
        <w:t>8. A vision for the future of All of Us</w:t>
      </w:r>
    </w:p>
    <w:p>
      <w:r>
        <w:rPr>
          <w:sz w:val="22"/>
        </w:rPr>
        <w:t>It helps to remember what All of Us chose to be. Where most biobanks began with genomes and treated clinical data as terse annotations of a biospecimen, All of Us inverted the order: it built a diverse, consented, national cohort and then surrounded its genomes with the longitudinal electronic health records, surveys, physical measures, and wearable streams that genomics needs in order to become medicine. That choice is the program's history and its thesis, and it is also, increasingly, where the field is heading. The widely shared vision in translational research is multi-modal analytics at scale, in which longitudinal clinical data is merged with genomic and other high-throughput data to associate molecular signatures with disease etiology, natural history, and treatment response. No single modality can deliver that; it comes only from triangulation across many, and All of Us is one of the few places on earth that co-locates them on a population that looks like the country.</w:t>
      </w:r>
    </w:p>
    <w:p>
      <w:r>
        <w:rPr>
          <w:sz w:val="22"/>
        </w:rPr>
        <w:t>The next decade of value will be unlocked less by adding another modality than by making the modalities we already have comparable, reusable, and computable together. That means continuing to anchor the data in shared semantic and syntactic standards so that findings are portable within and between systems, and it means closing the long-standing gap between research common data models and the native systems where care is actually delivered, so that an algorithm discovered on All of Us data can be re-derived and used at the bedside rather than stranded behind a re-implementation barrier. It means treating the electronic health record not as electronic paper but as one facet of a person's phenotype, examined along the temporal axis of how disease emerges, and improving that record at its source with richer terminologies and distributed, AI-assisted quality assurance behind each institution's firewall. And it means confronting the reality that even a cohort representative of a nation is cared for in a thousand different local contexts, so that regional variation in guidelines and practice must be modeled rather than ignored, and that linking ever more data raises re-identification risk that must be met with stronger privacy controls, clearer consent, and genuine reciprocity to the participants who give us their data again and again.</w:t>
      </w:r>
    </w:p>
    <w:p>
      <w:r>
        <w:rPr>
          <w:sz w:val="22"/>
        </w:rPr>
        <w:t>For All of Us specifically, this vision has a concrete shape. The program can become the trusted, diverse substrate on which the field's AI is built fairly: the place where ancestry-fair genomic foundation models are trained and evaluated, and where a governed, no-egress, in-environment model lets the whole community reason over participant data without that data ever leaving the enclave. It can turn its platform from a secure data-access environment into a coordinated, AI-enabled research ecosystem, with reusable tools, portable workflows, and in-environment assistance that make the default pattern build-on-each-other rather than copy-a-tutorial. It can stay ahead of the publication lag by reading its own live workspace and ancillary-study signals, so the roadmap reflects where the science is going a year before the literature catches up. It can make its findings speak for the whole United States through generalizability weighting, and it can keep faith with its founding mandate by returning value to participants and by refusing to deploy AI that widens the disparities it was created to close. If it does these things, All of Us will not merely be the largest and most diverse biobank; it will be the national model for responsible, equity-anchored, AI-ready biomedical discovery, the foundation on which precision medicine is finally realized at scale. The data and the diversity are already here. What remains is to close the gap and complete the lifecycle.</w:t>
      </w:r>
    </w:p>
    <w:p>
      <w:pPr>
        <w:pStyle w:val="Heading1"/>
      </w:pPr>
      <w:r>
        <w:t>9. Limitations</w:t>
      </w:r>
    </w:p>
    <w:p>
      <w:r>
        <w:rPr>
          <w:sz w:val="22"/>
        </w:rPr>
        <w:t>Keyword tagging is directional rather than per-record machine classification; the peer corpora are name-search-based and unaudited, so we read the static share index rather than trend differentials; grant and Institute attribution covers roughly 30% of publications; the full-text layer is not year-comparable; and platform specifics rest on 2025 and 2026 vendor documentation. One limitation doubles as a recommendation: because All of Us is a volunteer cohort, prevalence and association estimates require weighting to the US population, which the 2026 generalizability work and the released weighting package now make feasible (</w:t>
      </w:r>
      <w:hyperlink r:id="rId46">
        <w:r>
          <w:rPr>
            <w:color w:val="1155CC"/>
            <w:u w:val="single"/>
          </w:rPr>
          <w:t xml:space="preserve">Montgomery et al., Am J Epidemiol 2026</w:t>
        </w:r>
      </w:hyperlink>
      <w:r>
        <w:rPr>
          <w:sz w:val="22"/>
        </w:rPr>
        <w:t xml:space="preserve">; </w:t>
      </w:r>
      <w:hyperlink r:id="rId47">
        <w:r>
          <w:rPr>
            <w:color w:val="1155CC"/>
            <w:u w:val="single"/>
          </w:rPr>
          <w:t xml:space="preserve">waou (CRAN)</w:t>
        </w:r>
      </w:hyperlink>
      <w:r>
        <w:rPr>
          <w:sz w:val="22"/>
        </w:rPr>
        <w:t>).</w:t>
      </w:r>
    </w:p>
    <w:p>
      <w:pPr>
        <w:pStyle w:val="Heading1"/>
      </w:pPr>
      <w:r>
        <w:t>Appendix: citation and sourcing notes</w:t>
      </w:r>
    </w:p>
    <w:p>
      <w:r>
        <w:rPr>
          <w:sz w:val="22"/>
        </w:rPr>
        <w:t>Citations were harvested and verified in four clusters mapped to the sections above (introduction and landscape; peer biobanks; emerging frontiers; platform and recommendations, plus author-group anchors). Every reference was verified to resolve to the exact paper, and DOIs were resolved via NCBI E-utilities. Preprints are permitted but tagged as such and flagged for upgrade to their journal versions before submission. The 2026 ACT-IAC and All of Us AI/ML white paper is cited as an unreleased draft and is not quoted. One item was deliberately omitted as unverifiable: a multi-omics "10,000 diverse individuals" preprint could not be located, so that program activity is described but not cited to a paper.</w:t>
      </w:r>
    </w:p>
    <w:p>
      <w:r>
        <w:br w:type="page"/>
      </w:r>
    </w:p>
    <w:p>
      <w:pPr>
        <w:pStyle w:val="Title"/>
      </w:pPr>
      <w:r>
        <w:t>References (verified, with DOIs &amp; links)</w:t>
      </w:r>
    </w:p>
    <w:p>
      <w:r>
        <w:rPr>
          <w:i/>
          <w:sz w:val="19"/>
        </w:rPr>
        <w:t>69 of 72 references carry a resolvable DOI (resolved via NCBI E-utilities); the rest link to their canonical source. Preprints are flagged to upgrade to journal versions before submission. Spot-check every DOI on import.</w:t>
      </w:r>
    </w:p>
    <w:p>
      <w:pPr>
        <w:pStyle w:val="Title"/>
      </w:pPr>
      <w:r>
        <w:t>Seed references - "Where a diverse national cohort should go next: a data-driven refresh of the All of Us scientific roadmap"</w:t>
      </w:r>
    </w:p>
    <w:p>
      <w:r>
        <w:rPr>
          <w:sz w:val="22"/>
        </w:rPr>
        <w:t xml:space="preserve">Narrative / data-driven perspective · for the 2026 </w:t>
      </w:r>
      <w:r>
        <w:rPr>
          <w:i/>
          <w:sz w:val="22"/>
        </w:rPr>
        <w:t>All of Us</w:t>
      </w:r>
      <w:r>
        <w:rPr>
          <w:sz w:val="22"/>
        </w:rPr>
        <w:t xml:space="preserve"> Science Committee and the biobank/informatics community.</w:t>
      </w:r>
    </w:p>
    <w:p>
      <w:r>
        <w:rPr>
          <w:sz w:val="22"/>
        </w:rPr>
        <w:t xml:space="preserve">This is a </w:t>
      </w:r>
      <w:r>
        <w:rPr>
          <w:b/>
          <w:sz w:val="22"/>
        </w:rPr>
        <w:t>seed</w:t>
      </w:r>
      <w:r>
        <w:rPr>
          <w:sz w:val="22"/>
        </w:rPr>
        <w:t xml:space="preserve"> reference list to anchor citation-gathering, organized to match</w:t>
      </w:r>
    </w:p>
    <w:p>
      <w:hyperlink r:id="rId48">
        <w:r>
          <w:rPr>
            <w:color w:val="1155CC"/>
            <w:u w:val="single"/>
          </w:rPr>
          <w:t xml:space="preserve">`outline.md`</w:t>
        </w:r>
      </w:hyperlink>
      <w:r>
        <w:rPr>
          <w:sz w:val="22"/>
        </w:rPr>
        <w:t xml:space="preserve">. </w:t>
      </w:r>
      <w:r>
        <w:rPr>
          <w:b/>
          <w:sz w:val="22"/>
        </w:rPr>
        <w:t>Every entry was verified against a real source</w:t>
      </w:r>
      <w:r>
        <w:rPr>
          <w:sz w:val="22"/>
        </w:rPr>
        <w:t xml:space="preserve"> (PubMed / PMC /</w:t>
      </w:r>
    </w:p>
    <w:p>
      <w:r>
        <w:rPr>
          <w:sz w:val="22"/>
        </w:rPr>
        <w:t>publisher / resolvable DOI - or arXiv/bioRxiv for CS work), with title + first author + year</w:t>
      </w:r>
    </w:p>
    <w:p>
      <w:r>
        <w:rPr>
          <w:sz w:val="22"/>
        </w:rPr>
        <w:t xml:space="preserve">confirmed; nothing was invented. </w:t>
      </w:r>
      <w:r>
        <w:rPr>
          <w:b/>
          <w:sz w:val="22"/>
        </w:rPr>
        <w:t>Spot-check before submission - see Caveats at the end.</w:t>
      </w:r>
    </w:p>
    <w:p>
      <w:pPr>
        <w:pStyle w:val="ListBullet"/>
      </w:pPr>
      <w:r>
        <w:rPr>
          <w:b/>
          <w:sz w:val="22"/>
        </w:rPr>
        <w:t>[Author-group]</w:t>
      </w:r>
      <w:r>
        <w:rPr>
          <w:sz w:val="22"/>
        </w:rPr>
        <w:t xml:space="preserve"> tags papers authored by M. Haendel or close collaborators (verified in the byline).</w:t>
      </w:r>
    </w:p>
    <w:p>
      <w:pPr>
        <w:pStyle w:val="ListBullet"/>
      </w:pPr>
      <w:r>
        <w:rPr>
          <w:sz w:val="22"/>
        </w:rPr>
        <w:t xml:space="preserve">Some papers serve more than one section; the primary listing is marked and re-uses noted </w:t>
      </w:r>
      <w:r>
        <w:rPr>
          <w:rFonts w:ascii="Consolas" w:hAnsi="Consolas"/>
          <w:sz w:val="21"/>
        </w:rPr>
        <w:t>**</w:t>
      </w:r>
      <w:r>
        <w:rPr>
          <w:sz w:val="22"/>
        </w:rPr>
        <w:t>.</w:t>
      </w:r>
    </w:p>
    <w:p>
      <w:pPr>
        <w:pStyle w:val="ListBullet"/>
      </w:pPr>
      <w:r>
        <w:rPr>
          <w:rFonts w:ascii="Consolas" w:hAnsi="Consolas"/>
          <w:sz w:val="21"/>
        </w:rPr>
        <w:t>[preprint]</w:t>
      </w:r>
      <w:r>
        <w:rPr>
          <w:sz w:val="22"/>
        </w:rPr>
        <w:t xml:space="preserve"> marks non-peer-reviewed sources.</w:t>
      </w:r>
    </w:p>
    <w:p>
      <w:pPr>
        <w:pStyle w:val="Heading1"/>
      </w:pPr>
      <w:r>
        <w:t>Anchor seeds (author's prior work)</w:t>
      </w:r>
    </w:p>
    <w:p>
      <w:pPr>
        <w:pStyle w:val="ListBullet"/>
      </w:pPr>
      <w:hyperlink r:id="rId36">
        <w:r>
          <w:rPr>
            <w:color w:val="1155CC"/>
            <w:u w:val="single"/>
          </w:rPr>
          <w:t xml:space="preserve">Haendel et al. The National COVID Cohort Collaborative (N3C). JAMIA 2021</w:t>
        </w:r>
      </w:hyperlink>
      <w:r>
        <w:rPr>
          <w:sz w:val="22"/>
        </w:rPr>
        <w:t xml:space="preserve"> - Haendel first author; a secure, governed multi-site clinical-data enclave - the data-commons/governance anchor for. </w:t>
      </w:r>
      <w:r>
        <w:rPr>
          <w:b/>
          <w:sz w:val="22"/>
        </w:rPr>
        <w:t>[Author-group]</w:t>
      </w:r>
      <w:r>
        <w:rPr>
          <w:sz w:val="22"/>
        </w:rPr>
        <w:t xml:space="preserve"> **</w:t>
      </w:r>
    </w:p>
    <w:p>
      <w:pPr>
        <w:pStyle w:val="ListBullet"/>
      </w:pPr>
      <w:hyperlink r:id="rId49">
        <w:r>
          <w:rPr>
            <w:color w:val="1155CC"/>
            <w:u w:val="single"/>
          </w:rPr>
          <w:t xml:space="preserve">Shefchek et al. The Monarch Initiative in 2019. Nucleic Acids Research 2020</w:t>
        </w:r>
      </w:hyperlink>
      <w:r>
        <w:rPr>
          <w:sz w:val="22"/>
        </w:rPr>
        <w:t xml:space="preserve"> - Haendel senior author; cross-species integrative phenotype–genotype platform and ontologies. </w:t>
      </w:r>
      <w:r>
        <w:rPr>
          <w:b/>
          <w:sz w:val="22"/>
        </w:rPr>
        <w:t>[Author-group]</w:t>
      </w:r>
    </w:p>
    <w:p>
      <w:pPr>
        <w:pStyle w:val="ListBullet"/>
      </w:pPr>
      <w:hyperlink r:id="rId50">
        <w:r>
          <w:rPr>
            <w:color w:val="1155CC"/>
            <w:u w:val="single"/>
          </w:rPr>
          <w:t xml:space="preserve">Putman et al. The Monarch Initiative in 2024. Nucleic Acids Research 2024</w:t>
        </w:r>
      </w:hyperlink>
      <w:r>
        <w:rPr>
          <w:sz w:val="22"/>
        </w:rPr>
        <w:t xml:space="preserve"> - Haendel senior author; current Monarch knowledge-graph release. </w:t>
      </w:r>
      <w:r>
        <w:rPr>
          <w:b/>
          <w:sz w:val="22"/>
        </w:rPr>
        <w:t>[Author-group]</w:t>
      </w:r>
    </w:p>
    <w:p>
      <w:pPr>
        <w:pStyle w:val="ListBullet"/>
      </w:pPr>
      <w:hyperlink r:id="rId51">
        <w:r>
          <w:rPr>
            <w:color w:val="1155CC"/>
            <w:u w:val="single"/>
          </w:rPr>
          <w:t xml:space="preserve">Köhler et al. The Human Phenotype Ontology in 2021. Nucleic Acids Research 2021</w:t>
        </w:r>
      </w:hyperlink>
      <w:r>
        <w:rPr>
          <w:sz w:val="22"/>
        </w:rPr>
        <w:t xml:space="preserve"> - Haendel verified in the byline; standard vocabulary for computable deep phenotyping. </w:t>
      </w:r>
      <w:r>
        <w:rPr>
          <w:b/>
          <w:sz w:val="22"/>
        </w:rPr>
        <w:t>[Author-group]</w:t>
      </w:r>
    </w:p>
    <w:p>
      <w:pPr>
        <w:pStyle w:val="ListBullet"/>
      </w:pPr>
      <w:hyperlink r:id="rId52">
        <w:r>
          <w:rPr>
            <w:color w:val="1155CC"/>
            <w:u w:val="single"/>
          </w:rPr>
          <w:t xml:space="preserve">Jacobsen et al. The GA4GH Phenopacket schema. Nature Biotechnology 2022</w:t>
        </w:r>
      </w:hyperlink>
      <w:r>
        <w:rPr>
          <w:sz w:val="22"/>
        </w:rPr>
        <w:t xml:space="preserve"> - Haendel in byline; community standard for exchanging computable phenotypes (later ISO 4454). </w:t>
      </w:r>
      <w:r>
        <w:rPr>
          <w:b/>
          <w:sz w:val="22"/>
        </w:rPr>
        <w:t>[Author-group]</w:t>
      </w:r>
      <w:r>
        <w:rPr>
          <w:sz w:val="22"/>
        </w:rPr>
        <w:t xml:space="preserve"> **</w:t>
      </w:r>
    </w:p>
    <w:p>
      <w:pPr>
        <w:pStyle w:val="ListBullet"/>
      </w:pPr>
      <w:hyperlink r:id="rId53">
        <w:r>
          <w:rPr>
            <w:color w:val="1155CC"/>
            <w:u w:val="single"/>
          </w:rPr>
          <w:t xml:space="preserve">Vasilevsky et al. Mondo: integrating disease terminology across communities. Genetics 2025</w:t>
        </w:r>
      </w:hyperlink>
      <w:r>
        <w:rPr>
          <w:sz w:val="22"/>
        </w:rPr>
        <w:t xml:space="preserve"> - Haendel senior author; unified computable disease-classification ontology. </w:t>
      </w:r>
      <w:r>
        <w:rPr>
          <w:b/>
          <w:sz w:val="22"/>
        </w:rPr>
        <w:t>[Author-group]</w:t>
      </w:r>
    </w:p>
    <w:p>
      <w:pPr>
        <w:pStyle w:val="Heading1"/>
      </w:pPr>
      <w:r>
        <w:t>1. Introduction - why refresh the roadmap now</w:t>
      </w:r>
    </w:p>
    <w:p>
      <w:pPr>
        <w:pStyle w:val="ListBullet"/>
      </w:pPr>
      <w:hyperlink r:id="rId54">
        <w:r>
          <w:rPr>
            <w:color w:val="1155CC"/>
            <w:u w:val="single"/>
          </w:rPr>
          <w:t xml:space="preserve">Collins &amp; Varmus. A New Initiative on Precision Medicine. N Engl J Med 2015</w:t>
        </w:r>
      </w:hyperlink>
      <w:r>
        <w:rPr>
          <w:sz w:val="22"/>
        </w:rPr>
        <w:t xml:space="preserve"> - the Precision Medicine Initiative's founding Perspective; frames the national cohort that became All of Us. · </w:t>
      </w:r>
      <w:r>
        <w:rPr>
          <w:b/>
          <w:sz w:val="22"/>
        </w:rPr>
        <w:t>DOI:</w:t>
      </w:r>
      <w:r>
        <w:rPr>
          <w:sz w:val="22"/>
        </w:rPr>
        <w:t xml:space="preserve"> </w:t>
      </w:r>
      <w:hyperlink r:id="rId9">
        <w:r>
          <w:rPr>
            <w:color w:val="1155CC"/>
            <w:u w:val="single"/>
          </w:rPr>
          <w:t xml:space="preserve">10.1056/NEJMp1500523</w:t>
        </w:r>
      </w:hyperlink>
    </w:p>
    <w:p>
      <w:pPr>
        <w:pStyle w:val="ListBullet"/>
      </w:pPr>
      <w:hyperlink r:id="rId10">
        <w:r>
          <w:rPr>
            <w:color w:val="1155CC"/>
            <w:u w:val="single"/>
          </w:rPr>
          <w:t xml:space="preserve">Precision Medicine Initiative Working Group. The PMI Cohort Program - Building a Research Foundation for 21st Century Medicine. NIH 2015</w:t>
        </w:r>
      </w:hyperlink>
      <w:r>
        <w:rPr>
          <w:sz w:val="22"/>
        </w:rPr>
        <w:t xml:space="preserve"> - the blueprint report recommending a 1M+ cohort; the design document behind All of Us. </w:t>
      </w:r>
      <w:r>
        <w:rPr>
          <w:i/>
          <w:sz w:val="22"/>
        </w:rPr>
        <w:t>(gray literature)</w:t>
      </w:r>
    </w:p>
    <w:p>
      <w:pPr>
        <w:pStyle w:val="ListBullet"/>
      </w:pPr>
      <w:hyperlink r:id="rId55">
        <w:r>
          <w:rPr>
            <w:color w:val="1155CC"/>
            <w:u w:val="single"/>
          </w:rPr>
          <w:t xml:space="preserve">All of Us Research Program Investigators. The All of Us Research Program. N Engl J Med 2019</w:t>
        </w:r>
      </w:hyperlink>
      <w:r>
        <w:rPr>
          <w:sz w:val="22"/>
        </w:rPr>
        <w:t xml:space="preserve"> - the canonical program description: goals, protocol, data types, &gt;80% underrepresented enrollment. </w:t>
      </w:r>
      <w:r>
        <w:rPr>
          <w:i/>
          <w:sz w:val="22"/>
        </w:rPr>
        <w:t>(also cited for benchmarking rationale and platform)</w:t>
      </w:r>
      <w:r>
        <w:rPr>
          <w:sz w:val="22"/>
        </w:rPr>
        <w:t xml:space="preserve"> · </w:t>
      </w:r>
      <w:r>
        <w:rPr>
          <w:b/>
          <w:sz w:val="22"/>
        </w:rPr>
        <w:t>DOI:</w:t>
      </w:r>
      <w:r>
        <w:rPr>
          <w:sz w:val="22"/>
        </w:rPr>
        <w:t xml:space="preserve"> </w:t>
      </w:r>
      <w:hyperlink r:id="rId11">
        <w:r>
          <w:rPr>
            <w:color w:val="1155CC"/>
            <w:u w:val="single"/>
          </w:rPr>
          <w:t xml:space="preserve">10.1056/NEJMsr1809937</w:t>
        </w:r>
      </w:hyperlink>
    </w:p>
    <w:p>
      <w:pPr>
        <w:pStyle w:val="ListBullet"/>
      </w:pPr>
      <w:hyperlink r:id="rId56">
        <w:r>
          <w:rPr>
            <w:color w:val="1155CC"/>
            <w:u w:val="single"/>
          </w:rPr>
          <w:t xml:space="preserve">Mapes et al. Diversity and Inclusion for the All of Us Research Program: A Scoping Review. PLoS ONE 2020</w:t>
        </w:r>
      </w:hyperlink>
      <w:r>
        <w:rPr>
          <w:sz w:val="22"/>
        </w:rPr>
        <w:t xml:space="preserve"> - defines/justifies the UBR (underrepresented in biomedical research) mandate. · </w:t>
      </w:r>
      <w:r>
        <w:rPr>
          <w:b/>
          <w:sz w:val="22"/>
        </w:rPr>
        <w:t>DOI:</w:t>
      </w:r>
      <w:r>
        <w:rPr>
          <w:sz w:val="22"/>
        </w:rPr>
        <w:t xml:space="preserve"> </w:t>
      </w:r>
      <w:hyperlink r:id="rId12">
        <w:r>
          <w:rPr>
            <w:color w:val="1155CC"/>
            <w:u w:val="single"/>
          </w:rPr>
          <w:t xml:space="preserve">10.1371/journal.pone.0234962</w:t>
        </w:r>
      </w:hyperlink>
    </w:p>
    <w:p>
      <w:pPr>
        <w:pStyle w:val="ListBullet"/>
      </w:pPr>
      <w:hyperlink r:id="rId13">
        <w:r>
          <w:rPr>
            <w:color w:val="1155CC"/>
            <w:u w:val="single"/>
          </w:rPr>
          <w:t xml:space="preserve">Denny &amp; Collins. Precision Medicine in 2030 - Seven Ways to Transform Healthcare. Cell 2021</w:t>
        </w:r>
      </w:hyperlink>
      <w:r>
        <w:rPr>
          <w:sz w:val="22"/>
        </w:rPr>
        <w:t xml:space="preserve"> - forward-looking precision-medicine roadmap (cohorts, AI, phenomics, equity) from the AoU CEO and NIH Director.</w:t>
      </w:r>
    </w:p>
    <w:p>
      <w:pPr>
        <w:pStyle w:val="Heading1"/>
      </w:pPr>
      <w:r>
        <w:t>2. The All of Us research landscape</w:t>
      </w:r>
    </w:p>
    <w:p>
      <w:pPr>
        <w:pStyle w:val="ListBullet"/>
      </w:pPr>
      <w:hyperlink r:id="rId57">
        <w:r>
          <w:rPr>
            <w:color w:val="1155CC"/>
            <w:u w:val="single"/>
          </w:rPr>
          <w:t xml:space="preserve">All of Us Research Program Genomics Investigators. Genomic Data in the All of Us Research Program. Nature 2024</w:t>
        </w:r>
      </w:hyperlink>
      <w:r>
        <w:rPr>
          <w:sz w:val="22"/>
        </w:rPr>
        <w:t xml:space="preserve"> - flagship genomics release (245,388 genomes, &gt;1B variants); anchors the genomic resource. · </w:t>
      </w:r>
      <w:r>
        <w:rPr>
          <w:b/>
          <w:sz w:val="22"/>
        </w:rPr>
        <w:t>DOI:</w:t>
      </w:r>
      <w:r>
        <w:rPr>
          <w:sz w:val="22"/>
        </w:rPr>
        <w:t xml:space="preserve"> </w:t>
      </w:r>
      <w:hyperlink r:id="rId16">
        <w:r>
          <w:rPr>
            <w:color w:val="1155CC"/>
            <w:u w:val="single"/>
          </w:rPr>
          <w:t xml:space="preserve">10.1038/s41586-023-06957-x</w:t>
        </w:r>
      </w:hyperlink>
    </w:p>
    <w:p>
      <w:pPr>
        <w:pStyle w:val="ListBullet"/>
      </w:pPr>
      <w:hyperlink r:id="rId58">
        <w:r>
          <w:rPr>
            <w:color w:val="1155CC"/>
            <w:u w:val="single"/>
          </w:rPr>
          <w:t xml:space="preserve">Ramirez et al. The All of Us Research Program: Data Quality, Utility, and Diversity. Patterns 2022</w:t>
        </w:r>
      </w:hyperlink>
      <w:r>
        <w:rPr>
          <w:sz w:val="22"/>
        </w:rPr>
        <w:t xml:space="preserve"> - characterizes the data release (EHR, surveys, measurements) and the Researcher Workbench. </w:t>
      </w:r>
      <w:r>
        <w:rPr>
          <w:b/>
          <w:sz w:val="22"/>
        </w:rPr>
        <w:t xml:space="preserve"> · </w:t>
      </w:r>
      <w:r>
        <w:rPr>
          <w:sz w:val="22"/>
        </w:rPr>
        <w:t xml:space="preserve">DOI:** </w:t>
      </w:r>
      <w:hyperlink r:id="rId17">
        <w:r>
          <w:rPr>
            <w:color w:val="1155CC"/>
            <w:u w:val="single"/>
          </w:rPr>
          <w:t xml:space="preserve">10.1016/j.patter.2022.100570</w:t>
        </w:r>
      </w:hyperlink>
    </w:p>
    <w:p>
      <w:pPr>
        <w:pStyle w:val="ListBullet"/>
      </w:pPr>
      <w:hyperlink r:id="rId18">
        <w:r>
          <w:rPr>
            <w:color w:val="1155CC"/>
            <w:u w:val="single"/>
          </w:rPr>
          <w:t xml:space="preserve">Lederer et al. Data Quality Control in Using Fitbit Device Data From the All of Us Research Program. JMIR Mhealth Uhealth 2023</w:t>
        </w:r>
      </w:hyperlink>
      <w:r>
        <w:rPr>
          <w:sz w:val="22"/>
        </w:rPr>
        <w:t xml:space="preserve"> - the AoU Fitbit/wearables resource and its QC; supports the wearables data asset.</w:t>
      </w:r>
    </w:p>
    <w:p>
      <w:pPr>
        <w:pStyle w:val="ListBullet"/>
      </w:pPr>
      <w:hyperlink r:id="rId59">
        <w:r>
          <w:rPr>
            <w:color w:val="1155CC"/>
            <w:u w:val="single"/>
          </w:rPr>
          <w:t xml:space="preserve">Overhage et al. Validation of a Common Data Model for Active Safety Surveillance Research. JAMIA 2012</w:t>
        </w:r>
      </w:hyperlink>
      <w:r>
        <w:rPr>
          <w:sz w:val="22"/>
        </w:rPr>
        <w:t xml:space="preserve"> - foundational validation of the OMOP CDM. </w:t>
      </w:r>
      <w:r>
        <w:rPr>
          <w:b/>
          <w:sz w:val="22"/>
        </w:rPr>
        <w:t xml:space="preserve"> · </w:t>
      </w:r>
      <w:r>
        <w:rPr>
          <w:sz w:val="22"/>
        </w:rPr>
        <w:t xml:space="preserve">DOI:** </w:t>
      </w:r>
      <w:hyperlink r:id="rId14">
        <w:r>
          <w:rPr>
            <w:color w:val="1155CC"/>
            <w:u w:val="single"/>
          </w:rPr>
          <w:t xml:space="preserve">10.1136/amiajnl-2011-000376</w:t>
        </w:r>
      </w:hyperlink>
    </w:p>
    <w:p>
      <w:pPr>
        <w:pStyle w:val="ListBullet"/>
      </w:pPr>
      <w:hyperlink r:id="rId60">
        <w:r>
          <w:rPr>
            <w:color w:val="1155CC"/>
            <w:u w:val="single"/>
          </w:rPr>
          <w:t xml:space="preserve">Hripcsak et al. OHDSI: Opportunities for Observational Researchers. Stud Health Technol Inform 2015</w:t>
        </w:r>
      </w:hyperlink>
      <w:r>
        <w:rPr>
          <w:sz w:val="22"/>
        </w:rPr>
        <w:t xml:space="preserve"> - the OHDSI community/tooling on the OMOP CDM that AoU data are modeled in.</w:t>
      </w:r>
    </w:p>
    <w:p>
      <w:pPr>
        <w:pStyle w:val="ListBullet"/>
      </w:pPr>
      <w:hyperlink r:id="rId61">
        <w:r>
          <w:rPr>
            <w:color w:val="1155CC"/>
            <w:u w:val="single"/>
          </w:rPr>
          <w:t xml:space="preserve">Denny et al. PheWAS: Feasibility of a Phenome-Wide Scan to Discover Gene–Disease Associations. Bioinformatics 2010</w:t>
        </w:r>
      </w:hyperlink>
      <w:r>
        <w:rPr>
          <w:sz w:val="22"/>
        </w:rPr>
        <w:t xml:space="preserve"> - the original phenome-wide association method on EHR-derived phenotypes. · </w:t>
      </w:r>
      <w:r>
        <w:rPr>
          <w:b/>
          <w:sz w:val="22"/>
        </w:rPr>
        <w:t>DOI:</w:t>
      </w:r>
      <w:r>
        <w:rPr>
          <w:sz w:val="22"/>
        </w:rPr>
        <w:t xml:space="preserve"> </w:t>
      </w:r>
      <w:hyperlink r:id="rId15">
        <w:r>
          <w:rPr>
            <w:color w:val="1155CC"/>
            <w:u w:val="single"/>
          </w:rPr>
          <w:t xml:space="preserve">10.1093/bioinformatics/btq126</w:t>
        </w:r>
      </w:hyperlink>
    </w:p>
    <w:p>
      <w:pPr>
        <w:pStyle w:val="ListBullet"/>
      </w:pPr>
      <w:hyperlink r:id="rId62">
        <w:r>
          <w:rPr>
            <w:color w:val="1155CC"/>
            <w:u w:val="single"/>
          </w:rPr>
          <w:t xml:space="preserve">Denny et al. Systematic Comparison of Phenome-Wide Association Study of EMR Data and GWAS Data. Nat Biotechnol 2013</w:t>
        </w:r>
      </w:hyperlink>
      <w:r>
        <w:rPr>
          <w:sz w:val="22"/>
        </w:rPr>
        <w:t xml:space="preserve"> - first large-scale PheWAS in EMRs. · </w:t>
      </w:r>
      <w:r>
        <w:rPr>
          <w:b/>
          <w:sz w:val="22"/>
        </w:rPr>
        <w:t>DOI:</w:t>
      </w:r>
      <w:r>
        <w:rPr>
          <w:sz w:val="22"/>
        </w:rPr>
        <w:t xml:space="preserve"> </w:t>
      </w:r>
      <w:hyperlink r:id="rId63">
        <w:r>
          <w:rPr>
            <w:color w:val="1155CC"/>
            <w:u w:val="single"/>
          </w:rPr>
          <w:t xml:space="preserve">10.1038/nbt.2749</w:t>
        </w:r>
      </w:hyperlink>
    </w:p>
    <w:p>
      <w:pPr>
        <w:pStyle w:val="ListBullet"/>
      </w:pPr>
      <w:hyperlink r:id="rId64">
        <w:r>
          <w:rPr>
            <w:color w:val="1155CC"/>
            <w:u w:val="single"/>
          </w:rPr>
          <w:t xml:space="preserve">Kohane. Using Electronic Health Records to Drive Discovery in Disease Genomics. Nat Rev Genet 2011</w:t>
        </w:r>
      </w:hyperlink>
      <w:r>
        <w:rPr>
          <w:sz w:val="22"/>
        </w:rPr>
        <w:t xml:space="preserve"> - foundational review on repurposing EHR for genomic discovery.</w:t>
      </w:r>
    </w:p>
    <w:p>
      <w:pPr>
        <w:pStyle w:val="ListBullet"/>
      </w:pPr>
      <w:hyperlink r:id="rId65">
        <w:r>
          <w:rPr>
            <w:color w:val="1155CC"/>
            <w:u w:val="single"/>
          </w:rPr>
          <w:t xml:space="preserve">Wei &amp; Denny. Extracting Research-Quality Phenotypes from EHRs to Support Precision Medicine. Genome Med 2015</w:t>
        </w:r>
      </w:hyperlink>
      <w:r>
        <w:rPr>
          <w:sz w:val="22"/>
        </w:rPr>
        <w:t xml:space="preserve"> - EHR phenotyping methods underpinning phenome-wide research. · </w:t>
      </w:r>
      <w:r>
        <w:rPr>
          <w:b/>
          <w:sz w:val="22"/>
        </w:rPr>
        <w:t>DOI:</w:t>
      </w:r>
      <w:r>
        <w:rPr>
          <w:sz w:val="22"/>
        </w:rPr>
        <w:t xml:space="preserve"> </w:t>
      </w:r>
      <w:hyperlink r:id="rId66">
        <w:r>
          <w:rPr>
            <w:color w:val="1155CC"/>
            <w:u w:val="single"/>
          </w:rPr>
          <w:t xml:space="preserve">10.1186/s13073-015-0166-y</w:t>
        </w:r>
      </w:hyperlink>
    </w:p>
    <w:p>
      <w:pPr>
        <w:pStyle w:val="ListBullet"/>
      </w:pPr>
      <w:hyperlink r:id="rId67">
        <w:r>
          <w:rPr>
            <w:color w:val="1155CC"/>
            <w:u w:val="single"/>
          </w:rPr>
          <w:t xml:space="preserve">van Eck &amp; Waltman. VOSviewer, a Computer Program for Bibliometric Mapping. Scientometrics 2010</w:t>
        </w:r>
      </w:hyperlink>
      <w:r>
        <w:rPr>
          <w:sz w:val="22"/>
        </w:rPr>
        <w:t xml:space="preserve"> - standard tool for bibliometric/co-citation mapping (corpus method).</w:t>
      </w:r>
    </w:p>
    <w:p>
      <w:pPr>
        <w:pStyle w:val="ListBullet"/>
      </w:pPr>
      <w:hyperlink r:id="rId68">
        <w:r>
          <w:rPr>
            <w:color w:val="1155CC"/>
            <w:u w:val="single"/>
          </w:rPr>
          <w:t xml:space="preserve">Boyack &amp; Klavans. Co-Citation, Bibliographic Coupling, and Direct Citation. JASIST 2010</w:t>
        </w:r>
      </w:hyperlink>
      <w:r>
        <w:rPr>
          <w:sz w:val="22"/>
        </w:rPr>
        <w:t xml:space="preserve"> - methodological benchmark for citation-based corpus mapping.</w:t>
      </w:r>
    </w:p>
    <w:p>
      <w:pPr>
        <w:pStyle w:val="ListBullet"/>
      </w:pPr>
      <w:hyperlink r:id="rId69">
        <w:r>
          <w:rPr>
            <w:color w:val="1155CC"/>
            <w:u w:val="single"/>
          </w:rPr>
          <w:t xml:space="preserve">Blei, Ng &amp; Jordan. Latent Dirichlet Allocation. J Mach Learn Res 2003</w:t>
        </w:r>
      </w:hyperlink>
      <w:r>
        <w:rPr>
          <w:sz w:val="22"/>
        </w:rPr>
        <w:t xml:space="preserve"> - canonical topic-modeling method for thematic corpus analysis.</w:t>
      </w:r>
    </w:p>
    <w:p>
      <w:pPr>
        <w:pStyle w:val="Heading1"/>
      </w:pPr>
      <w:r>
        <w:t>3. Benchmarking against peer biobanks</w:t>
      </w:r>
    </w:p>
    <w:p>
      <w:pPr>
        <w:pStyle w:val="Heading2"/>
      </w:pPr>
      <w:r>
        <w:t>3.1 The comparator set</w:t>
      </w:r>
    </w:p>
    <w:p>
      <w:pPr>
        <w:pStyle w:val="ListBullet"/>
      </w:pPr>
      <w:hyperlink r:id="rId70">
        <w:r>
          <w:rPr>
            <w:color w:val="1155CC"/>
            <w:u w:val="single"/>
          </w:rPr>
          <w:t xml:space="preserve">Sudlow et al. UK Biobank: an open access resource. PLoS Medicine 2015</w:t>
        </w:r>
      </w:hyperlink>
      <w:r>
        <w:rPr>
          <w:sz w:val="22"/>
        </w:rPr>
        <w:t xml:space="preserve"> - canonical UK Biobank cohort profile (500k, open-access); the primary comparator. · </w:t>
      </w:r>
      <w:r>
        <w:rPr>
          <w:b/>
          <w:sz w:val="22"/>
        </w:rPr>
        <w:t>DOI:</w:t>
      </w:r>
      <w:r>
        <w:rPr>
          <w:sz w:val="22"/>
        </w:rPr>
        <w:t xml:space="preserve"> </w:t>
      </w:r>
      <w:hyperlink r:id="rId21">
        <w:r>
          <w:rPr>
            <w:color w:val="1155CC"/>
            <w:u w:val="single"/>
          </w:rPr>
          <w:t xml:space="preserve">10.1371/journal.pmed.1001779</w:t>
        </w:r>
      </w:hyperlink>
    </w:p>
    <w:p>
      <w:pPr>
        <w:pStyle w:val="ListBullet"/>
      </w:pPr>
      <w:hyperlink r:id="rId71">
        <w:r>
          <w:rPr>
            <w:color w:val="1155CC"/>
            <w:u w:val="single"/>
          </w:rPr>
          <w:t xml:space="preserve">Bycroft et al. The UK Biobank resource with deep phenotyping and genomic data. Nature 2018</w:t>
        </w:r>
      </w:hyperlink>
      <w:r>
        <w:rPr>
          <w:sz w:val="22"/>
        </w:rPr>
        <w:t xml:space="preserve"> - genotyping, imputation (~96M variants), QC; template for genomics-at-scale.</w:t>
      </w:r>
    </w:p>
    <w:p>
      <w:pPr>
        <w:pStyle w:val="ListBullet"/>
      </w:pPr>
      <w:hyperlink r:id="rId72">
        <w:r>
          <w:rPr>
            <w:color w:val="1155CC"/>
            <w:u w:val="single"/>
          </w:rPr>
          <w:t xml:space="preserve">Gaziano et al. Million Veteran Program: a mega-biobank. J Clin Epidemiol 2016</w:t>
        </w:r>
      </w:hyperlink>
      <w:r>
        <w:rPr>
          <w:sz w:val="22"/>
        </w:rPr>
        <w:t xml:space="preserve"> - VA MVP design; an EHR-linked health-system biobank comparator. · </w:t>
      </w:r>
      <w:r>
        <w:rPr>
          <w:b/>
          <w:sz w:val="22"/>
        </w:rPr>
        <w:t>DOI:</w:t>
      </w:r>
      <w:r>
        <w:rPr>
          <w:sz w:val="22"/>
        </w:rPr>
        <w:t xml:space="preserve"> </w:t>
      </w:r>
      <w:hyperlink r:id="rId22">
        <w:r>
          <w:rPr>
            <w:color w:val="1155CC"/>
            <w:u w:val="single"/>
          </w:rPr>
          <w:t xml:space="preserve">10.1016/j.jclinepi.2015.09.016</w:t>
        </w:r>
      </w:hyperlink>
    </w:p>
    <w:p>
      <w:pPr>
        <w:pStyle w:val="ListBullet"/>
      </w:pPr>
      <w:hyperlink r:id="rId73">
        <w:r>
          <w:rPr>
            <w:color w:val="1155CC"/>
            <w:u w:val="single"/>
          </w:rPr>
          <w:t xml:space="preserve">Kurki et al. FinnGen: genetic insights from a well-phenotyped isolated population. Nature 2023</w:t>
        </w:r>
      </w:hyperlink>
      <w:r>
        <w:rPr>
          <w:sz w:val="22"/>
        </w:rPr>
        <w:t xml:space="preserve"> - ~429k samples linked to national registers; the founder-population comparator. · </w:t>
      </w:r>
      <w:r>
        <w:rPr>
          <w:b/>
          <w:sz w:val="22"/>
        </w:rPr>
        <w:t>DOI:</w:t>
      </w:r>
      <w:r>
        <w:rPr>
          <w:sz w:val="22"/>
        </w:rPr>
        <w:t xml:space="preserve"> </w:t>
      </w:r>
      <w:hyperlink r:id="rId23">
        <w:r>
          <w:rPr>
            <w:color w:val="1155CC"/>
            <w:u w:val="single"/>
          </w:rPr>
          <w:t xml:space="preserve">10.1038/s41586-022-05473-8</w:t>
        </w:r>
      </w:hyperlink>
    </w:p>
    <w:p>
      <w:pPr>
        <w:pStyle w:val="ListBullet"/>
      </w:pPr>
      <w:hyperlink r:id="rId74">
        <w:r>
          <w:rPr>
            <w:color w:val="1155CC"/>
            <w:u w:val="single"/>
          </w:rPr>
          <w:t xml:space="preserve">Chen et al. China Kadoorie Biobank of 0.5 million people. Int J Epidemiol 2011</w:t>
        </w:r>
      </w:hyperlink>
      <w:r>
        <w:rPr>
          <w:sz w:val="22"/>
        </w:rPr>
        <w:t xml:space="preserve"> - CKB cohort profile; the large non-Western comparator. · </w:t>
      </w:r>
      <w:r>
        <w:rPr>
          <w:b/>
          <w:sz w:val="22"/>
        </w:rPr>
        <w:t>DOI:</w:t>
      </w:r>
      <w:r>
        <w:rPr>
          <w:sz w:val="22"/>
        </w:rPr>
        <w:t xml:space="preserve"> </w:t>
      </w:r>
      <w:hyperlink r:id="rId24">
        <w:r>
          <w:rPr>
            <w:color w:val="1155CC"/>
            <w:u w:val="single"/>
          </w:rPr>
          <w:t xml:space="preserve">10.1093/ije/dyr120</w:t>
        </w:r>
      </w:hyperlink>
    </w:p>
    <w:p>
      <w:pPr>
        <w:pStyle w:val="Heading2"/>
      </w:pPr>
      <w:r>
        <w:t>3.2 Distinctive strengths &amp; discovery at scale</w:t>
      </w:r>
    </w:p>
    <w:p>
      <w:pPr>
        <w:pStyle w:val="ListBullet"/>
      </w:pPr>
      <w:hyperlink r:id="rId75">
        <w:r>
          <w:rPr>
            <w:color w:val="1155CC"/>
            <w:u w:val="single"/>
          </w:rPr>
          <w:t xml:space="preserve">Backman et al. Exome sequencing of 454,787 UK Biobank participants. Nature 2021</w:t>
        </w:r>
      </w:hyperlink>
      <w:r>
        <w:rPr>
          <w:sz w:val="22"/>
        </w:rPr>
        <w:t xml:space="preserve"> - landmark biobank-scale exome resource.</w:t>
      </w:r>
    </w:p>
    <w:p>
      <w:pPr>
        <w:pStyle w:val="ListBullet"/>
      </w:pPr>
      <w:hyperlink r:id="rId76">
        <w:r>
          <w:rPr>
            <w:color w:val="1155CC"/>
            <w:u w:val="single"/>
          </w:rPr>
          <w:t xml:space="preserve">Halldorsson et al. The sequences of 150,119 genomes in the UK Biobank. Nature 2022</w:t>
        </w:r>
      </w:hyperlink>
      <w:r>
        <w:rPr>
          <w:sz w:val="22"/>
        </w:rPr>
        <w:t xml:space="preserve"> - biobank-scale WGS; benchmark for the WGS resource AoU also delivers. · </w:t>
      </w:r>
      <w:r>
        <w:rPr>
          <w:b/>
          <w:sz w:val="22"/>
        </w:rPr>
        <w:t>DOI:</w:t>
      </w:r>
      <w:r>
        <w:rPr>
          <w:sz w:val="22"/>
        </w:rPr>
        <w:t xml:space="preserve"> </w:t>
      </w:r>
      <w:hyperlink r:id="rId77">
        <w:r>
          <w:rPr>
            <w:color w:val="1155CC"/>
            <w:u w:val="single"/>
          </w:rPr>
          <w:t xml:space="preserve">10.1038/s41586-022-04965-x</w:t>
        </w:r>
      </w:hyperlink>
    </w:p>
    <w:p>
      <w:pPr>
        <w:pStyle w:val="ListBullet"/>
      </w:pPr>
      <w:hyperlink r:id="rId78">
        <w:r>
          <w:rPr>
            <w:color w:val="1155CC"/>
            <w:u w:val="single"/>
          </w:rPr>
          <w:t xml:space="preserve">Verma et al. Diversity and scale: genetic architecture of 2,068 traits in the MVP. Science 2024</w:t>
        </w:r>
      </w:hyperlink>
      <w:r>
        <w:rPr>
          <w:sz w:val="22"/>
        </w:rPr>
        <w:t xml:space="preserve"> - multi-ancestry GWAS atlas (635,969); the discovery case for diverse biobanks.</w:t>
      </w:r>
    </w:p>
    <w:p>
      <w:pPr>
        <w:pStyle w:val="ListBullet"/>
      </w:pPr>
      <w:hyperlink r:id="rId79">
        <w:r>
          <w:rPr>
            <w:color w:val="1155CC"/>
            <w:u w:val="single"/>
          </w:rPr>
          <w:t xml:space="preserve">Wojcik et al. Genetic analyses of diverse populations improves discovery for complex traits. Nature 2019</w:t>
        </w:r>
      </w:hyperlink>
      <w:r>
        <w:rPr>
          <w:sz w:val="22"/>
        </w:rPr>
        <w:t xml:space="preserve"> - PAGE study; diverse samples surface variants missed in European-only studies. · </w:t>
      </w:r>
      <w:r>
        <w:rPr>
          <w:b/>
          <w:sz w:val="22"/>
        </w:rPr>
        <w:t>DOI:</w:t>
      </w:r>
      <w:r>
        <w:rPr>
          <w:sz w:val="22"/>
        </w:rPr>
        <w:t xml:space="preserve"> </w:t>
      </w:r>
      <w:hyperlink r:id="rId80">
        <w:r>
          <w:rPr>
            <w:color w:val="1155CC"/>
            <w:u w:val="single"/>
          </w:rPr>
          <w:t xml:space="preserve">10.1038/s41586-019-1310-4</w:t>
        </w:r>
      </w:hyperlink>
    </w:p>
    <w:p>
      <w:pPr>
        <w:pStyle w:val="ListBullet"/>
      </w:pPr>
      <w:hyperlink r:id="rId81">
        <w:r>
          <w:rPr>
            <w:color w:val="1155CC"/>
            <w:u w:val="single"/>
          </w:rPr>
          <w:t xml:space="preserve">Zhou et al. Global Biobank Meta-analysis Initiative. Cell Genomics 2022</w:t>
        </w:r>
      </w:hyperlink>
      <w:r>
        <w:rPr>
          <w:sz w:val="22"/>
        </w:rPr>
        <w:t xml:space="preserve"> - cross-biobank harmonization/comparison framework (23 biobanks). · </w:t>
      </w:r>
      <w:r>
        <w:rPr>
          <w:b/>
          <w:sz w:val="22"/>
        </w:rPr>
        <w:t>DOI:</w:t>
      </w:r>
      <w:r>
        <w:rPr>
          <w:sz w:val="22"/>
        </w:rPr>
        <w:t xml:space="preserve"> </w:t>
      </w:r>
      <w:hyperlink r:id="rId82">
        <w:r>
          <w:rPr>
            <w:color w:val="1155CC"/>
            <w:u w:val="single"/>
          </w:rPr>
          <w:t xml:space="preserve">10.1016/j.xgen.2022.100192</w:t>
        </w:r>
      </w:hyperlink>
    </w:p>
    <w:p>
      <w:pPr>
        <w:pStyle w:val="Heading2"/>
      </w:pPr>
      <w:r>
        <w:t>3.3 Gaps, diversity &amp; representativeness</w:t>
      </w:r>
    </w:p>
    <w:p>
      <w:pPr>
        <w:pStyle w:val="ListBullet"/>
      </w:pPr>
      <w:hyperlink r:id="rId83">
        <w:r>
          <w:rPr>
            <w:color w:val="1155CC"/>
            <w:u w:val="single"/>
          </w:rPr>
          <w:t xml:space="preserve">Sirugo et al. The Missing Diversity in Human Genetic Studies. Cell 2019</w:t>
        </w:r>
      </w:hyperlink>
      <w:r>
        <w:rPr>
          <w:sz w:val="22"/>
        </w:rPr>
        <w:t xml:space="preserve"> - the ancestry-imbalance statement (~78% of GWAS participants European) and its costs. · </w:t>
      </w:r>
      <w:r>
        <w:rPr>
          <w:b/>
          <w:sz w:val="22"/>
        </w:rPr>
        <w:t>DOI:</w:t>
      </w:r>
      <w:r>
        <w:rPr>
          <w:sz w:val="22"/>
        </w:rPr>
        <w:t xml:space="preserve"> </w:t>
      </w:r>
      <w:hyperlink r:id="rId25">
        <w:r>
          <w:rPr>
            <w:color w:val="1155CC"/>
            <w:u w:val="single"/>
          </w:rPr>
          <w:t xml:space="preserve">10.1016/j.cell.2019.02.048</w:t>
        </w:r>
      </w:hyperlink>
    </w:p>
    <w:p>
      <w:pPr>
        <w:pStyle w:val="ListBullet"/>
      </w:pPr>
      <w:hyperlink r:id="rId26">
        <w:r>
          <w:rPr>
            <w:color w:val="1155CC"/>
            <w:u w:val="single"/>
          </w:rPr>
          <w:t xml:space="preserve">Martin et al. Clinical use of current polygenic risk scores may exacerbate health disparities. Nat Genet 2019</w:t>
        </w:r>
      </w:hyperlink>
      <w:r>
        <w:rPr>
          <w:sz w:val="22"/>
        </w:rPr>
        <w:t xml:space="preserve"> - PRS far more accurate in European-ancestry individuals; the equity argument for AoU.</w:t>
      </w:r>
    </w:p>
    <w:p>
      <w:pPr>
        <w:pStyle w:val="ListBullet"/>
      </w:pPr>
      <w:hyperlink r:id="rId84">
        <w:r>
          <w:rPr>
            <w:color w:val="1155CC"/>
            <w:u w:val="single"/>
          </w:rPr>
          <w:t xml:space="preserve">Popejoy &amp; Fullerton. Genomics is failing on diversity. Nature 2016</w:t>
        </w:r>
      </w:hyperlink>
      <w:r>
        <w:rPr>
          <w:sz w:val="22"/>
        </w:rPr>
        <w:t xml:space="preserve"> - early audit of non-European underrepresentation; frames the gap AoU set out to close.</w:t>
      </w:r>
    </w:p>
    <w:p>
      <w:pPr>
        <w:pStyle w:val="ListBullet"/>
      </w:pPr>
      <w:hyperlink r:id="rId85">
        <w:r>
          <w:rPr>
            <w:color w:val="1155CC"/>
            <w:u w:val="single"/>
          </w:rPr>
          <w:t xml:space="preserve">Fry et al. Comparison of UK Biobank participants with the general population. Am J Epidemiol 2017</w:t>
        </w:r>
      </w:hyperlink>
      <w:r>
        <w:rPr>
          <w:sz w:val="22"/>
        </w:rPr>
        <w:t xml:space="preserve"> - 5.5% response rate and healthy-volunteer bias; the representativeness caveat for mega-biobanks. · </w:t>
      </w:r>
      <w:r>
        <w:rPr>
          <w:b/>
          <w:sz w:val="22"/>
        </w:rPr>
        <w:t>DOI:</w:t>
      </w:r>
      <w:r>
        <w:rPr>
          <w:sz w:val="22"/>
        </w:rPr>
        <w:t xml:space="preserve"> </w:t>
      </w:r>
      <w:hyperlink r:id="rId27">
        <w:r>
          <w:rPr>
            <w:color w:val="1155CC"/>
            <w:u w:val="single"/>
          </w:rPr>
          <w:t xml:space="preserve">10.1093/aje/kwx246</w:t>
        </w:r>
      </w:hyperlink>
    </w:p>
    <w:p>
      <w:pPr>
        <w:pStyle w:val="ListBullet"/>
      </w:pPr>
      <w:hyperlink r:id="rId86">
        <w:r>
          <w:rPr>
            <w:color w:val="1155CC"/>
            <w:u w:val="single"/>
          </w:rPr>
          <w:t xml:space="preserve">Mills &amp; Rahal. A scientometric review of genome-wide association studies. Commun Biol 2019</w:t>
        </w:r>
      </w:hyperlink>
      <w:r>
        <w:rPr>
          <w:sz w:val="22"/>
        </w:rPr>
        <w:t xml:space="preserve"> - GWAS bibliometrics showing persistent European dominance; the biobank-bibliometrics anchor.</w:t>
      </w:r>
    </w:p>
    <w:p>
      <w:pPr>
        <w:pStyle w:val="Heading2"/>
      </w:pPr>
      <w:r>
        <w:t>3.4 Interpretation</w:t>
      </w:r>
    </w:p>
    <w:p>
      <w:pPr>
        <w:pStyle w:val="ListBullet"/>
      </w:pPr>
      <w:r>
        <w:rPr>
          <w:i/>
          <w:sz w:val="22"/>
        </w:rPr>
        <w:t>AoU NEJM 2019</w:t>
      </w:r>
      <w:r>
        <w:rPr>
          <w:sz w:val="22"/>
        </w:rPr>
        <w:t xml:space="preserve"> - the diversity-first rationale that motivates benchmarking against the above.</w:t>
      </w:r>
    </w:p>
    <w:p>
      <w:pPr>
        <w:pStyle w:val="Heading1"/>
      </w:pPr>
      <w:r>
        <w:t>4. Emerging scientific frontiers and AoU white space</w:t>
      </w:r>
    </w:p>
    <w:p>
      <w:pPr>
        <w:pStyle w:val="Heading2"/>
      </w:pPr>
      <w:r>
        <w:t>4.1 AI foundation models in medicine (LLMs, clinical &amp; agentic AI)</w:t>
      </w:r>
    </w:p>
    <w:p>
      <w:pPr>
        <w:pStyle w:val="ListBullet"/>
      </w:pPr>
      <w:hyperlink r:id="rId87">
        <w:r>
          <w:rPr>
            <w:color w:val="1155CC"/>
            <w:u w:val="single"/>
          </w:rPr>
          <w:t xml:space="preserve">Moor et al. Foundation models for generalist medical AI. Nature 2023</w:t>
        </w:r>
      </w:hyperlink>
      <w:r>
        <w:rPr>
          <w:sz w:val="22"/>
        </w:rPr>
        <w:t xml:space="preserve"> - defines "generalist medical AI"; the conceptual anchor for the frontier. · </w:t>
      </w:r>
      <w:r>
        <w:rPr>
          <w:b/>
          <w:sz w:val="22"/>
        </w:rPr>
        <w:t>DOI:</w:t>
      </w:r>
      <w:r>
        <w:rPr>
          <w:sz w:val="22"/>
        </w:rPr>
        <w:t xml:space="preserve"> </w:t>
      </w:r>
      <w:hyperlink r:id="rId28">
        <w:r>
          <w:rPr>
            <w:color w:val="1155CC"/>
            <w:u w:val="single"/>
          </w:rPr>
          <w:t xml:space="preserve">10.1038/s41586-023-05881-4</w:t>
        </w:r>
      </w:hyperlink>
    </w:p>
    <w:p>
      <w:pPr>
        <w:pStyle w:val="ListBullet"/>
      </w:pPr>
      <w:hyperlink r:id="rId88">
        <w:r>
          <w:rPr>
            <w:color w:val="1155CC"/>
            <w:u w:val="single"/>
          </w:rPr>
          <w:t xml:space="preserve">Singhal et al. Large language models encode clinical knowledge. Nature 2023</w:t>
        </w:r>
      </w:hyperlink>
      <w:r>
        <w:rPr>
          <w:sz w:val="22"/>
        </w:rPr>
        <w:t xml:space="preserve"> - Med-PaLM/MultiMedQA; LLMs reach near-expert medical QA with a safety-evaluation framework. · </w:t>
      </w:r>
      <w:r>
        <w:rPr>
          <w:b/>
          <w:sz w:val="22"/>
        </w:rPr>
        <w:t>DOI:</w:t>
      </w:r>
      <w:r>
        <w:rPr>
          <w:sz w:val="22"/>
        </w:rPr>
        <w:t xml:space="preserve"> </w:t>
      </w:r>
      <w:hyperlink r:id="rId29">
        <w:r>
          <w:rPr>
            <w:color w:val="1155CC"/>
            <w:u w:val="single"/>
          </w:rPr>
          <w:t xml:space="preserve">10.1038/s41586-023-06291-2</w:t>
        </w:r>
      </w:hyperlink>
    </w:p>
    <w:p>
      <w:pPr>
        <w:pStyle w:val="ListBullet"/>
      </w:pPr>
      <w:hyperlink r:id="rId89">
        <w:r>
          <w:rPr>
            <w:color w:val="1155CC"/>
            <w:u w:val="single"/>
          </w:rPr>
          <w:t xml:space="preserve">Nori et al. Capabilities of GPT-4 on Medical Challenge Problems. arXiv 2023</w:t>
        </w:r>
      </w:hyperlink>
      <w:r>
        <w:rPr>
          <w:sz w:val="22"/>
        </w:rPr>
        <w:t xml:space="preserve"> </w:t>
      </w:r>
      <w:r>
        <w:rPr>
          <w:rFonts w:ascii="Consolas" w:hAnsi="Consolas"/>
          <w:sz w:val="21"/>
        </w:rPr>
        <w:t>[preprint]</w:t>
      </w:r>
      <w:r>
        <w:rPr>
          <w:sz w:val="22"/>
        </w:rPr>
        <w:t xml:space="preserve"> - general-purpose GPT-4 exceeds USMLE passing score without fine-tuning. · </w:t>
      </w:r>
      <w:r>
        <w:rPr>
          <w:b/>
          <w:sz w:val="22"/>
        </w:rPr>
        <w:t>DOI:</w:t>
      </w:r>
      <w:r>
        <w:rPr>
          <w:sz w:val="22"/>
        </w:rPr>
        <w:t xml:space="preserve"> </w:t>
      </w:r>
      <w:hyperlink r:id="rId90">
        <w:r>
          <w:rPr>
            <w:color w:val="1155CC"/>
            <w:u w:val="single"/>
          </w:rPr>
          <w:t xml:space="preserve">10.48550/arXiv.2303.13375</w:t>
        </w:r>
      </w:hyperlink>
    </w:p>
    <w:p>
      <w:pPr>
        <w:pStyle w:val="ListBullet"/>
      </w:pPr>
      <w:hyperlink r:id="rId91">
        <w:r>
          <w:rPr>
            <w:color w:val="1155CC"/>
            <w:u w:val="single"/>
          </w:rPr>
          <w:t xml:space="preserve">Kung et al. Performance of ChatGPT on USMLE. PLOS Digit Health 2023</w:t>
        </w:r>
      </w:hyperlink>
      <w:r>
        <w:rPr>
          <w:sz w:val="22"/>
        </w:rPr>
        <w:t xml:space="preserve"> - early demonstration of LLM at USMLE threshold; catalyzed clinical-LLM interest.</w:t>
      </w:r>
    </w:p>
    <w:p>
      <w:pPr>
        <w:pStyle w:val="ListBullet"/>
      </w:pPr>
      <w:hyperlink r:id="rId92">
        <w:r>
          <w:rPr>
            <w:color w:val="1155CC"/>
            <w:u w:val="single"/>
          </w:rPr>
          <w:t xml:space="preserve">Tu et al. Towards conversational diagnostic artificial intelligence. Nature 2025</w:t>
        </w:r>
      </w:hyperlink>
      <w:r>
        <w:rPr>
          <w:sz w:val="22"/>
        </w:rPr>
        <w:t xml:space="preserve"> - AMIE diagnostic-dialogue agent; frontier of agentic clinical AI.</w:t>
      </w:r>
    </w:p>
    <w:p>
      <w:pPr>
        <w:pStyle w:val="ListBullet"/>
      </w:pPr>
      <w:hyperlink r:id="rId93">
        <w:r>
          <w:rPr>
            <w:color w:val="1155CC"/>
            <w:u w:val="single"/>
          </w:rPr>
          <w:t xml:space="preserve">Mehandru et al. Evaluating large language models as agents in the clinic. npj Digit Med 2024</w:t>
        </w:r>
      </w:hyperlink>
      <w:r>
        <w:rPr>
          <w:sz w:val="22"/>
        </w:rPr>
        <w:t xml:space="preserve"> - argues LLM agents be judged by workflow impact, not exam benchmarks. · </w:t>
      </w:r>
      <w:r>
        <w:rPr>
          <w:b/>
          <w:sz w:val="22"/>
        </w:rPr>
        <w:t>DOI:</w:t>
      </w:r>
      <w:r>
        <w:rPr>
          <w:sz w:val="22"/>
        </w:rPr>
        <w:t xml:space="preserve"> </w:t>
      </w:r>
      <w:hyperlink r:id="rId94">
        <w:r>
          <w:rPr>
            <w:color w:val="1155CC"/>
            <w:u w:val="single"/>
          </w:rPr>
          <w:t xml:space="preserve">10.1038/s41746-024-01083-y</w:t>
        </w:r>
      </w:hyperlink>
    </w:p>
    <w:p>
      <w:pPr>
        <w:pStyle w:val="Heading2"/>
      </w:pPr>
      <w:r>
        <w:t>4.2 Genomic / DNA sequence foundation models</w:t>
      </w:r>
    </w:p>
    <w:p>
      <w:pPr>
        <w:pStyle w:val="ListBullet"/>
      </w:pPr>
      <w:hyperlink r:id="rId30">
        <w:r>
          <w:rPr>
            <w:color w:val="1155CC"/>
            <w:u w:val="single"/>
          </w:rPr>
          <w:t xml:space="preserve">Dalla-Torre et al. Nucleotide Transformer: robust foundation models for human genomics. Nat Methods 2025</w:t>
        </w:r>
      </w:hyperlink>
      <w:r>
        <w:rPr>
          <w:sz w:val="22"/>
        </w:rPr>
        <w:t xml:space="preserve"> - benchmark-setting DNA language models (50M–2.5B params).</w:t>
      </w:r>
    </w:p>
    <w:p>
      <w:pPr>
        <w:pStyle w:val="ListBullet"/>
      </w:pPr>
      <w:hyperlink r:id="rId95">
        <w:r>
          <w:rPr>
            <w:color w:val="1155CC"/>
            <w:u w:val="single"/>
          </w:rPr>
          <w:t xml:space="preserve">Ji et al. DNABERT. Bioinformatics 2021</w:t>
        </w:r>
      </w:hyperlink>
      <w:r>
        <w:rPr>
          <w:sz w:val="22"/>
        </w:rPr>
        <w:t xml:space="preserve"> - foundational transformer establishing DNA-as-language pretraining. · </w:t>
      </w:r>
      <w:r>
        <w:rPr>
          <w:b/>
          <w:sz w:val="22"/>
        </w:rPr>
        <w:t>DOI:</w:t>
      </w:r>
      <w:r>
        <w:rPr>
          <w:sz w:val="22"/>
        </w:rPr>
        <w:t xml:space="preserve"> </w:t>
      </w:r>
      <w:hyperlink r:id="rId96">
        <w:r>
          <w:rPr>
            <w:color w:val="1155CC"/>
            <w:u w:val="single"/>
          </w:rPr>
          <w:t xml:space="preserve">10.1093/bioinformatics/btab083</w:t>
        </w:r>
      </w:hyperlink>
    </w:p>
    <w:p>
      <w:pPr>
        <w:pStyle w:val="ListBullet"/>
      </w:pPr>
      <w:hyperlink r:id="rId31">
        <w:r>
          <w:rPr>
            <w:color w:val="1155CC"/>
            <w:u w:val="single"/>
          </w:rPr>
          <w:t xml:space="preserve">Nguyen et al. Sequence modeling and design from molecular to genome scale with Evo. Science 2024</w:t>
        </w:r>
      </w:hyperlink>
      <w:r>
        <w:rPr>
          <w:sz w:val="22"/>
        </w:rPr>
        <w:t xml:space="preserve"> - 7B-param genomic model, 131k context; zero-shot function prediction and design.</w:t>
      </w:r>
    </w:p>
    <w:p>
      <w:pPr>
        <w:pStyle w:val="ListBullet"/>
      </w:pPr>
      <w:hyperlink r:id="rId97">
        <w:r>
          <w:rPr>
            <w:color w:val="1155CC"/>
            <w:u w:val="single"/>
          </w:rPr>
          <w:t xml:space="preserve">Brixi et al. Genome modeling and design across all domains of life with Evo 2. bioRxiv 2025</w:t>
        </w:r>
      </w:hyperlink>
      <w:r>
        <w:rPr>
          <w:sz w:val="22"/>
        </w:rPr>
        <w:t xml:space="preserve"> </w:t>
      </w:r>
      <w:r>
        <w:rPr>
          <w:rFonts w:ascii="Consolas" w:hAnsi="Consolas"/>
          <w:sz w:val="21"/>
        </w:rPr>
        <w:t>[preprint]</w:t>
      </w:r>
      <w:r>
        <w:rPr>
          <w:sz w:val="22"/>
        </w:rPr>
        <w:t xml:space="preserve"> - 7B/40B, 1Mb context; variant-effect prediction without fine-tuning. </w:t>
      </w:r>
      <w:r>
        <w:rPr>
          <w:i/>
          <w:sz w:val="22"/>
        </w:rPr>
        <w:t>(confirm journal version before submission)</w:t>
      </w:r>
    </w:p>
    <w:p>
      <w:pPr>
        <w:pStyle w:val="Heading2"/>
      </w:pPr>
      <w:r>
        <w:t>4.3 Multimodal modeling &amp; data integration</w:t>
      </w:r>
    </w:p>
    <w:p>
      <w:pPr>
        <w:pStyle w:val="ListBullet"/>
      </w:pPr>
      <w:hyperlink r:id="rId32">
        <w:r>
          <w:rPr>
            <w:color w:val="1155CC"/>
            <w:u w:val="single"/>
          </w:rPr>
          <w:t xml:space="preserve">Acosta et al. Multimodal biomedical AI. Nature Medicine 2022</w:t>
        </w:r>
      </w:hyperlink>
      <w:r>
        <w:rPr>
          <w:sz w:val="22"/>
        </w:rPr>
        <w:t xml:space="preserve"> - review of fusing biobank, EHR, imaging, biosensor, and omics data; directly relevant to AoU's integrated data.</w:t>
      </w:r>
    </w:p>
    <w:p>
      <w:pPr>
        <w:pStyle w:val="ListBullet"/>
      </w:pPr>
      <w:hyperlink r:id="rId98">
        <w:r>
          <w:rPr>
            <w:color w:val="1155CC"/>
            <w:u w:val="single"/>
          </w:rPr>
          <w:t xml:space="preserve">Boehm et al. Harnessing multimodal data integration to advance precision oncology. Nat Rev Cancer 2022</w:t>
        </w:r>
      </w:hyperlink>
      <w:r>
        <w:rPr>
          <w:sz w:val="22"/>
        </w:rPr>
        <w:t xml:space="preserve"> - integration of molecular/imaging/clinical modalities and its interoperability barriers. · </w:t>
      </w:r>
      <w:r>
        <w:rPr>
          <w:b/>
          <w:sz w:val="22"/>
        </w:rPr>
        <w:t>DOI:</w:t>
      </w:r>
      <w:r>
        <w:rPr>
          <w:sz w:val="22"/>
        </w:rPr>
        <w:t xml:space="preserve"> </w:t>
      </w:r>
      <w:hyperlink r:id="rId99">
        <w:r>
          <w:rPr>
            <w:color w:val="1155CC"/>
            <w:u w:val="single"/>
          </w:rPr>
          <w:t xml:space="preserve">10.1038/s41568-021-00408-3</w:t>
        </w:r>
      </w:hyperlink>
    </w:p>
    <w:p>
      <w:pPr>
        <w:pStyle w:val="Heading2"/>
      </w:pPr>
      <w:r>
        <w:t>4.4 Disease-definition &amp; methods shifts</w:t>
      </w:r>
    </w:p>
    <w:p>
      <w:pPr>
        <w:pStyle w:val="ListBullet"/>
      </w:pPr>
      <w:hyperlink r:id="rId33">
        <w:r>
          <w:rPr>
            <w:color w:val="1155CC"/>
            <w:u w:val="single"/>
          </w:rPr>
          <w:t xml:space="preserve">Rinella et al. A multisociety Delphi consensus statement on new fatty liver disease nomenclature. Hepatology 2023</w:t>
        </w:r>
      </w:hyperlink>
      <w:r>
        <w:rPr>
          <w:sz w:val="22"/>
        </w:rPr>
        <w:t xml:space="preserve"> - NAFLD→MASLD / NASH→MASH; redefines phenotyping for cohort studies.</w:t>
      </w:r>
    </w:p>
    <w:p>
      <w:pPr>
        <w:pStyle w:val="ListBullet"/>
      </w:pPr>
      <w:hyperlink r:id="rId100">
        <w:r>
          <w:rPr>
            <w:color w:val="1155CC"/>
            <w:u w:val="single"/>
          </w:rPr>
          <w:t xml:space="preserve">Harrison et al. A Phase 3 Trial of Resmetirom in NASH with Liver Fibrosis (MAESTRO-NASH). N Engl J Med 2024</w:t>
        </w:r>
      </w:hyperlink>
      <w:r>
        <w:rPr>
          <w:sz w:val="22"/>
        </w:rPr>
        <w:t xml:space="preserve"> - first phase-3 success; marks MASH as an actionable entity. · </w:t>
      </w:r>
      <w:r>
        <w:rPr>
          <w:b/>
          <w:sz w:val="22"/>
        </w:rPr>
        <w:t>DOI:</w:t>
      </w:r>
      <w:r>
        <w:rPr>
          <w:sz w:val="22"/>
        </w:rPr>
        <w:t xml:space="preserve"> </w:t>
      </w:r>
      <w:hyperlink r:id="rId101">
        <w:r>
          <w:rPr>
            <w:color w:val="1155CC"/>
            <w:u w:val="single"/>
          </w:rPr>
          <w:t xml:space="preserve">10.1056/NEJMoa2309000</w:t>
        </w:r>
      </w:hyperlink>
    </w:p>
    <w:p>
      <w:pPr>
        <w:pStyle w:val="ListBullet"/>
      </w:pPr>
      <w:hyperlink r:id="rId102">
        <w:r>
          <w:rPr>
            <w:color w:val="1155CC"/>
            <w:u w:val="single"/>
          </w:rPr>
          <w:t xml:space="preserve">Hernán &amp; Robins. Using Big Data to Emulate a Target Trial When a Randomized Trial Is Not Available. Am J Epidemiol 2016</w:t>
        </w:r>
      </w:hyperlink>
      <w:r>
        <w:rPr>
          <w:sz w:val="22"/>
        </w:rPr>
        <w:t xml:space="preserve"> - the founding target-trial-emulation framework; causal-inference anchor for EHR. · </w:t>
      </w:r>
      <w:r>
        <w:rPr>
          <w:b/>
          <w:sz w:val="22"/>
        </w:rPr>
        <w:t>DOI:</w:t>
      </w:r>
      <w:r>
        <w:rPr>
          <w:sz w:val="22"/>
        </w:rPr>
        <w:t xml:space="preserve"> </w:t>
      </w:r>
      <w:hyperlink r:id="rId34">
        <w:r>
          <w:rPr>
            <w:color w:val="1155CC"/>
            <w:u w:val="single"/>
          </w:rPr>
          <w:t xml:space="preserve">10.1093/aje/kwv254</w:t>
        </w:r>
      </w:hyperlink>
    </w:p>
    <w:p>
      <w:pPr>
        <w:pStyle w:val="ListBullet"/>
      </w:pPr>
      <w:hyperlink r:id="rId103">
        <w:r>
          <w:rPr>
            <w:color w:val="1155CC"/>
            <w:u w:val="single"/>
          </w:rPr>
          <w:t xml:space="preserve">Hubbard et al. Target Trial Emulation for Observational Studies - Potential and Pitfalls. N Engl J Med 2024</w:t>
        </w:r>
      </w:hyperlink>
      <w:r>
        <w:rPr>
          <w:sz w:val="22"/>
        </w:rPr>
        <w:t xml:space="preserve"> - strengths and biases of TTE on EHR/claims.</w:t>
      </w:r>
    </w:p>
    <w:p>
      <w:pPr>
        <w:pStyle w:val="Heading2"/>
      </w:pPr>
      <w:r>
        <w:t>4.5 Frontiers needing assays AoU lacks ("partner, don't chase")</w:t>
      </w:r>
    </w:p>
    <w:p>
      <w:pPr>
        <w:pStyle w:val="ListBullet"/>
      </w:pPr>
      <w:hyperlink r:id="rId104">
        <w:r>
          <w:rPr>
            <w:color w:val="1155CC"/>
            <w:u w:val="single"/>
          </w:rPr>
          <w:t xml:space="preserve">Jumper et al. Highly accurate protein structure prediction with AlphaFold. Nature 2021</w:t>
        </w:r>
      </w:hyperlink>
      <w:r>
        <w:rPr>
          <w:sz w:val="22"/>
        </w:rPr>
        <w:t xml:space="preserve"> - AlphaFold2; a frontier to leverage, not reproduce. · </w:t>
      </w:r>
      <w:r>
        <w:rPr>
          <w:b/>
          <w:sz w:val="22"/>
        </w:rPr>
        <w:t>DOI:</w:t>
      </w:r>
      <w:r>
        <w:rPr>
          <w:sz w:val="22"/>
        </w:rPr>
        <w:t xml:space="preserve"> </w:t>
      </w:r>
      <w:hyperlink r:id="rId35">
        <w:r>
          <w:rPr>
            <w:color w:val="1155CC"/>
            <w:u w:val="single"/>
          </w:rPr>
          <w:t xml:space="preserve">10.1038/s41586-021-03819-2</w:t>
        </w:r>
      </w:hyperlink>
    </w:p>
    <w:p>
      <w:pPr>
        <w:pStyle w:val="ListBullet"/>
      </w:pPr>
      <w:hyperlink r:id="rId105">
        <w:r>
          <w:rPr>
            <w:color w:val="1155CC"/>
            <w:u w:val="single"/>
          </w:rPr>
          <w:t xml:space="preserve">Abramson et al. Accurate structure prediction of biomolecular interactions with AlphaFold 3. Nature 2024</w:t>
        </w:r>
      </w:hyperlink>
      <w:r>
        <w:rPr>
          <w:sz w:val="22"/>
        </w:rPr>
        <w:t xml:space="preserve"> - extends to protein–ligand/nucleic-acid complexes. · </w:t>
      </w:r>
      <w:r>
        <w:rPr>
          <w:b/>
          <w:sz w:val="22"/>
        </w:rPr>
        <w:t>DOI:</w:t>
      </w:r>
      <w:r>
        <w:rPr>
          <w:sz w:val="22"/>
        </w:rPr>
        <w:t xml:space="preserve"> </w:t>
      </w:r>
      <w:hyperlink r:id="rId106">
        <w:r>
          <w:rPr>
            <w:color w:val="1155CC"/>
            <w:u w:val="single"/>
          </w:rPr>
          <w:t xml:space="preserve">10.1038/s41586-024-07487-w</w:t>
        </w:r>
      </w:hyperlink>
    </w:p>
    <w:p>
      <w:pPr>
        <w:pStyle w:val="ListBullet"/>
      </w:pPr>
      <w:hyperlink r:id="rId107">
        <w:r>
          <w:rPr>
            <w:color w:val="1155CC"/>
            <w:u w:val="single"/>
          </w:rPr>
          <w:t xml:space="preserve">Marx. Method of the Year 2020: spatially resolved transcriptomics. Nature Methods 2021</w:t>
        </w:r>
      </w:hyperlink>
      <w:r>
        <w:rPr>
          <w:sz w:val="22"/>
        </w:rPr>
        <w:t xml:space="preserve"> - a tissue-assay frontier beyond a population cohort's sample types. · </w:t>
      </w:r>
      <w:r>
        <w:rPr>
          <w:b/>
          <w:sz w:val="22"/>
        </w:rPr>
        <w:t>DOI:</w:t>
      </w:r>
      <w:r>
        <w:rPr>
          <w:sz w:val="22"/>
        </w:rPr>
        <w:t xml:space="preserve"> </w:t>
      </w:r>
      <w:hyperlink r:id="rId108">
        <w:r>
          <w:rPr>
            <w:color w:val="1155CC"/>
            <w:u w:val="single"/>
          </w:rPr>
          <w:t xml:space="preserve">10.1038/s41592-020-01033-y</w:t>
        </w:r>
      </w:hyperlink>
    </w:p>
    <w:p>
      <w:pPr>
        <w:pStyle w:val="ListBullet"/>
      </w:pPr>
      <w:hyperlink r:id="rId109">
        <w:r>
          <w:rPr>
            <w:color w:val="1155CC"/>
            <w:u w:val="single"/>
          </w:rPr>
          <w:t xml:space="preserve">Regev et al. The Human Cell Atlas. eLife 2017</w:t>
        </w:r>
      </w:hyperlink>
      <w:r>
        <w:rPr>
          <w:sz w:val="22"/>
        </w:rPr>
        <w:t xml:space="preserve"> - the single-cell reference effort AoU can align to rather than duplicate.</w:t>
      </w:r>
    </w:p>
    <w:p>
      <w:pPr>
        <w:pStyle w:val="ListBullet"/>
      </w:pPr>
      <w:hyperlink r:id="rId110">
        <w:r>
          <w:rPr>
            <w:color w:val="1155CC"/>
            <w:u w:val="single"/>
          </w:rPr>
          <w:t xml:space="preserve">The Tabula Sapiens Consortium. The Tabula Sapiens single-cell transcriptomic atlas of humans. Science 2022</w:t>
        </w:r>
      </w:hyperlink>
      <w:r>
        <w:rPr>
          <w:sz w:val="22"/>
        </w:rPr>
        <w:t xml:space="preserve"> - ~500k cells / 24 tissues; requires assays AoU does not collect. · </w:t>
      </w:r>
      <w:r>
        <w:rPr>
          <w:b/>
          <w:sz w:val="22"/>
        </w:rPr>
        <w:t>DOI:</w:t>
      </w:r>
      <w:r>
        <w:rPr>
          <w:sz w:val="22"/>
        </w:rPr>
        <w:t xml:space="preserve"> </w:t>
      </w:r>
      <w:hyperlink r:id="rId111">
        <w:r>
          <w:rPr>
            <w:color w:val="1155CC"/>
            <w:u w:val="single"/>
          </w:rPr>
          <w:t xml:space="preserve">10.1126/science.abl4896</w:t>
        </w:r>
      </w:hyperlink>
    </w:p>
    <w:p>
      <w:pPr>
        <w:pStyle w:val="Heading1"/>
      </w:pPr>
      <w:r>
        <w:t>5. The analysis platform: the Researcher Workbench</w:t>
      </w:r>
    </w:p>
    <w:p>
      <w:pPr>
        <w:pStyle w:val="Heading2"/>
      </w:pPr>
      <w:r>
        <w:t>5.1 Secure analysis platforms / data commons</w:t>
      </w:r>
    </w:p>
    <w:p>
      <w:pPr>
        <w:pStyle w:val="ListBullet"/>
      </w:pPr>
      <w:r>
        <w:rPr>
          <w:i/>
          <w:sz w:val="22"/>
        </w:rPr>
        <w:t>Haendel et al. N3C. JAMIA 2021</w:t>
      </w:r>
      <w:r>
        <w:rPr>
          <w:sz w:val="22"/>
        </w:rPr>
        <w:t xml:space="preserve"> (see Anchor seeds) - the secure governed enclave model. </w:t>
      </w:r>
      <w:r>
        <w:rPr>
          <w:b/>
          <w:sz w:val="22"/>
        </w:rPr>
        <w:t>[Author-group]</w:t>
      </w:r>
    </w:p>
    <w:p>
      <w:pPr>
        <w:pStyle w:val="ListBullet"/>
      </w:pPr>
      <w:r>
        <w:rPr>
          <w:i/>
          <w:sz w:val="22"/>
        </w:rPr>
        <w:t>Ramirez et al. Patterns 2022</w:t>
      </w:r>
      <w:r>
        <w:rPr>
          <w:sz w:val="22"/>
        </w:rPr>
        <w:t xml:space="preserve"> - the cloud-based Researcher Workbench and data-passport access model.</w:t>
      </w:r>
    </w:p>
    <w:p>
      <w:pPr>
        <w:pStyle w:val="ListBullet"/>
      </w:pPr>
      <w:hyperlink r:id="rId37">
        <w:r>
          <w:rPr>
            <w:color w:val="1155CC"/>
            <w:u w:val="single"/>
          </w:rPr>
          <w:t xml:space="preserve">Schatz et al. Inverting the model of genomics data sharing with the NHGRI AnVIL. Cell Genomics 2022</w:t>
        </w:r>
      </w:hyperlink>
      <w:r>
        <w:rPr>
          <w:sz w:val="22"/>
        </w:rPr>
        <w:t xml:space="preserve"> - canonical AnVIL "bring-compute-to-data" paper.</w:t>
      </w:r>
    </w:p>
    <w:p>
      <w:pPr>
        <w:pStyle w:val="ListBullet"/>
      </w:pPr>
      <w:hyperlink r:id="rId38">
        <w:r>
          <w:rPr>
            <w:color w:val="1155CC"/>
            <w:u w:val="single"/>
          </w:rPr>
          <w:t xml:space="preserve">Ahalt et al. Building a collaborative cloud platform (NHLBI BioData Catalyst). JAMIA 2023</w:t>
        </w:r>
      </w:hyperlink>
      <w:r>
        <w:rPr>
          <w:sz w:val="22"/>
        </w:rPr>
        <w:t xml:space="preserve"> - community-driven cloud data/compute commons.</w:t>
      </w:r>
    </w:p>
    <w:p>
      <w:pPr>
        <w:pStyle w:val="ListBullet"/>
      </w:pPr>
      <w:hyperlink r:id="rId39">
        <w:r>
          <w:rPr>
            <w:color w:val="1155CC"/>
            <w:u w:val="single"/>
          </w:rPr>
          <w:t xml:space="preserve">O'Connor et al. Dockstore: sharing Docker-based tools and workflows. F1000Research 2017</w:t>
        </w:r>
      </w:hyperlink>
      <w:r>
        <w:rPr>
          <w:sz w:val="22"/>
        </w:rPr>
        <w:t xml:space="preserve"> - registry of portable containerized workflows across commons.</w:t>
      </w:r>
    </w:p>
    <w:p>
      <w:pPr>
        <w:pStyle w:val="Heading2"/>
      </w:pPr>
      <w:r>
        <w:t>5.2 Standards &amp; interoperability</w:t>
      </w:r>
    </w:p>
    <w:p>
      <w:pPr>
        <w:pStyle w:val="ListBullet"/>
      </w:pPr>
      <w:hyperlink r:id="rId40">
        <w:r>
          <w:rPr>
            <w:color w:val="1155CC"/>
            <w:u w:val="single"/>
          </w:rPr>
          <w:t xml:space="preserve">Wilkinson et al. The FAIR Guiding Principles for scientific data management. Sci Data 2016</w:t>
        </w:r>
      </w:hyperlink>
      <w:r>
        <w:rPr>
          <w:sz w:val="22"/>
        </w:rPr>
        <w:t xml:space="preserve"> - the canonical FAIR principles.</w:t>
      </w:r>
    </w:p>
    <w:p>
      <w:pPr>
        <w:pStyle w:val="ListBullet"/>
      </w:pPr>
      <w:hyperlink r:id="rId41">
        <w:r>
          <w:rPr>
            <w:color w:val="1155CC"/>
            <w:u w:val="single"/>
          </w:rPr>
          <w:t xml:space="preserve">Rehm et al. GA4GH: International policies and standards for data sharing. Cell Genomics 2021</w:t>
        </w:r>
      </w:hyperlink>
      <w:r>
        <w:rPr>
          <w:sz w:val="22"/>
        </w:rPr>
        <w:t xml:space="preserve"> - interoperable standards and policy for responsible genomic/clinical data sharing.</w:t>
      </w:r>
    </w:p>
    <w:p>
      <w:pPr>
        <w:pStyle w:val="ListBullet"/>
      </w:pPr>
      <w:r>
        <w:rPr>
          <w:i/>
          <w:sz w:val="22"/>
        </w:rPr>
        <w:t>Jacobsen et al. GA4GH Phenopacket schema. Nat Biotechnol 2022</w:t>
      </w:r>
      <w:r>
        <w:rPr>
          <w:sz w:val="22"/>
        </w:rPr>
        <w:t xml:space="preserve"> (see Anchor seeds) - computable phenotype exchange. </w:t>
      </w:r>
      <w:r>
        <w:rPr>
          <w:b/>
          <w:sz w:val="22"/>
        </w:rPr>
        <w:t>[Author-group]</w:t>
      </w:r>
    </w:p>
    <w:p>
      <w:pPr>
        <w:pStyle w:val="ListBullet"/>
      </w:pPr>
      <w:r>
        <w:rPr>
          <w:i/>
          <w:sz w:val="22"/>
        </w:rPr>
        <w:t>Overhage et al. OMOP CDM. JAMIA 2012</w:t>
      </w:r>
      <w:r>
        <w:rPr>
          <w:sz w:val="22"/>
        </w:rPr>
        <w:t xml:space="preserve"> - harmonized multi-site analytics (as used by N3C/OHDSI).</w:t>
      </w:r>
    </w:p>
    <w:p>
      <w:pPr>
        <w:pStyle w:val="ListBullet"/>
      </w:pPr>
      <w:hyperlink r:id="rId112">
        <w:r>
          <w:rPr>
            <w:color w:val="1155CC"/>
            <w:u w:val="single"/>
          </w:rPr>
          <w:t xml:space="preserve">Biomedical Data Translator Consortium. Toward A Universal Biomedical Data Translator. Clin Transl Sci 2019</w:t>
        </w:r>
      </w:hyperlink>
      <w:r>
        <w:rPr>
          <w:sz w:val="22"/>
        </w:rPr>
        <w:t xml:space="preserve"> - NCATS Translator reasoning over integrated knowledge graphs. </w:t>
      </w:r>
      <w:r>
        <w:rPr>
          <w:i/>
          <w:sz w:val="22"/>
        </w:rPr>
        <w:t>(consortium byline - not tagged; see caveats)</w:t>
      </w:r>
    </w:p>
    <w:p>
      <w:pPr>
        <w:pStyle w:val="Heading1"/>
      </w:pPr>
      <w:r>
        <w:t>6. Recommendations - governed/responsible AI for the refreshed roadmap</w:t>
      </w:r>
    </w:p>
    <w:p>
      <w:pPr>
        <w:pStyle w:val="ListBullet"/>
      </w:pPr>
      <w:hyperlink r:id="rId42">
        <w:r>
          <w:rPr>
            <w:color w:val="1155CC"/>
            <w:u w:val="single"/>
          </w:rPr>
          <w:t xml:space="preserve">Obermeyer et al. Dissecting racial bias in an algorithm used to manage the health of populations. Science 2019</w:t>
        </w:r>
      </w:hyperlink>
      <w:r>
        <w:rPr>
          <w:sz w:val="22"/>
        </w:rPr>
        <w:t xml:space="preserve"> - landmark demonstration of racial bias in a deployed clinical algorithm.</w:t>
      </w:r>
    </w:p>
    <w:p>
      <w:pPr>
        <w:pStyle w:val="ListBullet"/>
      </w:pPr>
      <w:hyperlink r:id="rId43">
        <w:r>
          <w:rPr>
            <w:color w:val="1155CC"/>
            <w:u w:val="single"/>
          </w:rPr>
          <w:t xml:space="preserve">Wiens et al. Do no harm: a roadmap for responsible machine learning for health care. Nat Med 2019</w:t>
        </w:r>
      </w:hyperlink>
      <w:r>
        <w:rPr>
          <w:sz w:val="22"/>
        </w:rPr>
        <w:t xml:space="preserve"> - framework for responsibly moving ML to deployment.</w:t>
      </w:r>
    </w:p>
    <w:p>
      <w:pPr>
        <w:pStyle w:val="ListBullet"/>
      </w:pPr>
      <w:hyperlink r:id="rId44">
        <w:r>
          <w:rPr>
            <w:color w:val="1155CC"/>
            <w:u w:val="single"/>
          </w:rPr>
          <w:t xml:space="preserve">Rajkomar et al. Ensuring Fairness in Machine Learning to Advance Health Equity. Ann Intern Med 2018</w:t>
        </w:r>
      </w:hyperlink>
      <w:r>
        <w:rPr>
          <w:sz w:val="22"/>
        </w:rPr>
        <w:t xml:space="preserve"> - fairness criteria and distributive-justice principles for clinical ML.</w:t>
      </w:r>
    </w:p>
    <w:p>
      <w:pPr>
        <w:pStyle w:val="ListBullet"/>
      </w:pPr>
      <w:hyperlink r:id="rId45">
        <w:r>
          <w:rPr>
            <w:color w:val="1155CC"/>
            <w:u w:val="single"/>
          </w:rPr>
          <w:t xml:space="preserve">Char et al. Implementing Machine Learning in Health Care - Addressing Ethical Challenges. NEJM 2018</w:t>
        </w:r>
      </w:hyperlink>
      <w:r>
        <w:rPr>
          <w:sz w:val="22"/>
        </w:rPr>
        <w:t xml:space="preserve"> - ethical risks (bias, oversight) in clinical ML.</w:t>
      </w:r>
    </w:p>
    <w:p>
      <w:r>
        <w:rPr>
          <w:sz w:val="22"/>
        </w:rPr>
        <w:t>**</w:t>
      </w:r>
    </w:p>
    <w:p>
      <w:pPr>
        <w:pStyle w:val="Heading1"/>
      </w:pPr>
      <w:r>
        <w:t>Caveats to check before use</w:t>
      </w:r>
    </w:p>
    <w:p>
      <w:r>
        <w:rPr>
          <w:b/>
          <w:sz w:val="22"/>
        </w:rPr>
        <w:t>Cross-listed (list once; cited in multiple sections):</w:t>
      </w:r>
      <w:r>
        <w:rPr>
          <w:sz w:val="22"/>
        </w:rPr>
        <w:t xml:space="preserve"> AoU NEJM 2019; Ramirez Patterns 2022; Overhage OMOP 2012; Jacobsen Phenopacket 2022 (Anchor).</w:t>
      </w:r>
    </w:p>
    <w:p>
      <w:r>
        <w:rPr>
          <w:b/>
          <w:sz w:val="22"/>
        </w:rPr>
        <w:t>Preprints (confirm/upgrade to journal version before submission):</w:t>
      </w:r>
      <w:r>
        <w:rPr>
          <w:sz w:val="22"/>
        </w:rPr>
        <w:t xml:space="preserve"> Nori et al. GPT-4 (arXiv 2303.13375); Brixi et al. Evo 2 (bioRxiv 2025.02.18.638918 - reportedly later in </w:t>
      </w:r>
      <w:r>
        <w:rPr>
          <w:i/>
          <w:sz w:val="22"/>
        </w:rPr>
        <w:t>Nature</w:t>
      </w:r>
      <w:r>
        <w:rPr>
          <w:sz w:val="22"/>
        </w:rPr>
        <w:t xml:space="preserve"> ~2026; verify).</w:t>
      </w:r>
    </w:p>
    <w:p>
      <w:r>
        <w:rPr>
          <w:b/>
          <w:sz w:val="22"/>
        </w:rPr>
        <w:t>Dual-journal:</w:t>
      </w:r>
      <w:r>
        <w:rPr>
          <w:sz w:val="22"/>
        </w:rPr>
        <w:t xml:space="preserve"> Rinella MASLD consensus co-published in </w:t>
      </w:r>
      <w:r>
        <w:rPr>
          <w:i/>
          <w:sz w:val="22"/>
        </w:rPr>
        <w:t>Hepatology</w:t>
      </w:r>
      <w:r>
        <w:rPr>
          <w:sz w:val="22"/>
        </w:rPr>
        <w:t xml:space="preserve"> (DOI above) and </w:t>
      </w:r>
      <w:r>
        <w:rPr>
          <w:i/>
          <w:sz w:val="22"/>
        </w:rPr>
        <w:t>J Hepatol</w:t>
      </w:r>
      <w:r>
        <w:rPr>
          <w:sz w:val="22"/>
        </w:rPr>
        <w:t xml:space="preserve"> 2023;79(6):1542–1556 - cite per the manuscript's style.</w:t>
      </w:r>
    </w:p>
    <w:p>
      <w:r>
        <w:rPr>
          <w:b/>
          <w:sz w:val="22"/>
        </w:rPr>
        <w:t>Preprint→journal already resolved:</w:t>
      </w:r>
      <w:r>
        <w:rPr>
          <w:sz w:val="22"/>
        </w:rPr>
        <w:t xml:space="preserve"> Nucleotide Transformer cited to </w:t>
      </w:r>
      <w:r>
        <w:rPr>
          <w:i/>
          <w:sz w:val="22"/>
        </w:rPr>
        <w:t>Nat Methods</w:t>
      </w:r>
      <w:r>
        <w:rPr>
          <w:sz w:val="22"/>
        </w:rPr>
        <w:t xml:space="preserve"> 2025 (not the 2023 bioRxiv); Evo to </w:t>
      </w:r>
      <w:r>
        <w:rPr>
          <w:i/>
          <w:sz w:val="22"/>
        </w:rPr>
        <w:t>Science</w:t>
      </w:r>
      <w:r>
        <w:rPr>
          <w:sz w:val="22"/>
        </w:rPr>
        <w:t xml:space="preserve"> 2024; Mondo to </w:t>
      </w:r>
      <w:r>
        <w:rPr>
          <w:i/>
          <w:sz w:val="22"/>
        </w:rPr>
        <w:t>Genetics</w:t>
      </w:r>
      <w:r>
        <w:rPr>
          <w:sz w:val="22"/>
        </w:rPr>
        <w:t xml:space="preserve"> 2025 (not 2022 medRxiv).</w:t>
      </w:r>
    </w:p>
    <w:p>
      <w:r>
        <w:rPr>
          <w:b/>
          <w:sz w:val="22"/>
        </w:rPr>
        <w:t>Author-group tagging:</w:t>
      </w:r>
    </w:p>
    <w:p>
      <w:pPr>
        <w:pStyle w:val="ListBullet"/>
      </w:pPr>
      <w:r>
        <w:rPr>
          <w:sz w:val="22"/>
        </w:rPr>
        <w:t>Tagged (byline-verified): N3C (Haendel 1st), Monarch 2019/2024 (Haendel senior), HPO 2021 (Haendel in large byline), Phenopacket 2022, Mondo 2025.</w:t>
      </w:r>
    </w:p>
    <w:p>
      <w:pPr>
        <w:pStyle w:val="ListBullet"/>
      </w:pPr>
      <w:r>
        <w:rPr>
          <w:b/>
          <w:sz w:val="22"/>
        </w:rPr>
        <w:t>NOT tagged:</w:t>
      </w:r>
      <w:r>
        <w:rPr>
          <w:sz w:val="22"/>
        </w:rPr>
        <w:t xml:space="preserve"> Biomedical Data Translator Consortium (Clin Transl Sci 2019) carries a </w:t>
      </w:r>
      <w:r>
        <w:rPr>
          <w:i/>
          <w:sz w:val="22"/>
        </w:rPr>
        <w:t>consortium</w:t>
      </w:r>
      <w:r>
        <w:rPr>
          <w:sz w:val="22"/>
        </w:rPr>
        <w:t xml:space="preserve"> byline with no individual authors - Haendel is a program participant, not a byline author; placed in untagged. (Date also ambiguous: epub Nov 2018, print 2019.)</w:t>
      </w:r>
    </w:p>
    <w:p>
      <w:r>
        <w:rPr>
          <w:b/>
          <w:sz w:val="22"/>
        </w:rPr>
        <w:t>Gray literature:</w:t>
      </w:r>
      <w:r>
        <w:rPr>
          <w:sz w:val="22"/>
        </w:rPr>
        <w:t xml:space="preserve"> the PMI Working Group report is an NIH government report, not peer-reviewed (included as the foundational design document).</w:t>
      </w:r>
    </w:p>
    <w:p>
      <w:r>
        <w:rPr>
          <w:b/>
          <w:sz w:val="22"/>
        </w:rPr>
        <w:t>Deliberately omitted (no verifiable canonical paper found - do not add unverified):</w:t>
      </w:r>
      <w:r>
        <w:rPr>
          <w:sz w:val="22"/>
        </w:rPr>
        <w:t xml:space="preserve"> a dedicated </w:t>
      </w:r>
      <w:r>
        <w:rPr>
          <w:b/>
          <w:sz w:val="22"/>
        </w:rPr>
        <w:t>Terra</w:t>
      </w:r>
      <w:r>
        <w:rPr>
          <w:sz w:val="22"/>
        </w:rPr>
        <w:t xml:space="preserve"> platform paper (only vendor press releases; represented via AnVIL + BioData Catalyst); a </w:t>
      </w:r>
      <w:r>
        <w:rPr>
          <w:b/>
          <w:sz w:val="22"/>
        </w:rPr>
        <w:t>Gabriella Miller Kids First</w:t>
      </w:r>
      <w:r>
        <w:rPr>
          <w:sz w:val="22"/>
        </w:rPr>
        <w:t xml:space="preserve"> platform paper (only NIH program pages); a standalone "compute-to-data" citation (anchored by AnVIL/BioData Catalyst); CKB's 2005 KSCDC predecessor profile; Peterson et al. 2019 and MVP array-methods papers (surfaced but not individually fetch-verified).</w:t>
      </w:r>
    </w:p>
    <w:p>
      <w:r>
        <w:rPr>
          <w:b/>
          <w:sz w:val="22"/>
        </w:rPr>
        <w:t>General:</w:t>
      </w:r>
      <w:r>
        <w:rPr>
          <w:sz w:val="22"/>
        </w:rPr>
        <w:t xml:space="preserve"> all URLs resolve to the exact paper (title + first author + year matched); some full texts are paywalled. Hubbard, Mehandru, Char, Wiens are Perspective/framing pieces, not primary evidence. Spot-check every DOI against your reference manager on import.</w:t>
      </w:r>
    </w:p>
    <w:p>
      <w:pPr>
        <w:pStyle w:val="Heading1"/>
      </w:pPr>
      <w:r>
        <w:t>Committee-sourced verified additions (2026-10-21)</w:t>
      </w:r>
    </w:p>
    <w:p>
      <w:r>
        <w:rPr>
          <w:b/>
          <w:sz w:val="22"/>
        </w:rPr>
        <w:t>AoU program papers (committee 2026 series):</w:t>
      </w:r>
    </w:p>
    <w:p>
      <w:pPr>
        <w:pStyle w:val="ListBullet"/>
      </w:pPr>
      <w:hyperlink r:id="rId113">
        <w:r>
          <w:rPr>
            <w:color w:val="1155CC"/>
            <w:u w:val="single"/>
          </w:rPr>
          <w:t xml:space="preserve">Montgomery et al. Assessing the generalizability of prevalence estimates from the All of Us Research Program. Am J Epidemiology 2026;195(7):1962–1973</w:t>
        </w:r>
      </w:hyperlink>
      <w:r>
        <w:rPr>
          <w:sz w:val="22"/>
        </w:rPr>
        <w:t xml:space="preserve"> - generalizability Driver Project. DOI 10.1093/aje/kwag010 · PMID 41536210.</w:t>
      </w:r>
    </w:p>
    <w:p>
      <w:pPr>
        <w:pStyle w:val="ListBullet"/>
      </w:pPr>
      <w:hyperlink r:id="rId47">
        <w:r>
          <w:rPr>
            <w:color w:val="1155CC"/>
            <w:u w:val="single"/>
          </w:rPr>
          <w:t xml:space="preserve">waou: Weighting All of Us (Brannock/Elkasabi/Montgomery). CRAN 2026, v0.1.1</w:t>
        </w:r>
      </w:hyperlink>
      <w:r>
        <w:rPr>
          <w:sz w:val="22"/>
        </w:rPr>
        <w:t xml:space="preserve"> - released weighting package tool.</w:t>
      </w:r>
    </w:p>
    <w:p>
      <w:pPr>
        <w:pStyle w:val="ListBullet"/>
      </w:pPr>
      <w:hyperlink r:id="rId114">
        <w:r>
          <w:rPr>
            <w:color w:val="1155CC"/>
            <w:u w:val="single"/>
          </w:rPr>
          <w:t xml:space="preserve">Cohn et al. Leveraging the All of Us Research Program to advance women's health. J Womens Health 2026;35(8):724–734</w:t>
        </w:r>
      </w:hyperlink>
      <w:r>
        <w:rPr>
          <w:sz w:val="22"/>
        </w:rPr>
        <w:t xml:space="preserve"> - Women's Health Driver Project exemplar. DOI 10.1177/15409996261434111 · PMID 41856979.</w:t>
      </w:r>
    </w:p>
    <w:p>
      <w:r>
        <w:rPr>
          <w:b/>
          <w:sz w:val="22"/>
        </w:rPr>
        <w:t>Frontier-methods harvest:</w:t>
      </w:r>
      <w:r>
        <w:rPr>
          <w:sz w:val="22"/>
        </w:rPr>
        <w:t xml:space="preserve"> 15 verified additions (genomic foundation models, clinical LLMs, agentic AI, multimodal, target-trial emulation, EHR foundation models) appended to </w:t>
      </w:r>
      <w:hyperlink r:id="rId115">
        <w:r>
          <w:rPr>
            <w:color w:val="1155CC"/>
            <w:u w:val="single"/>
          </w:rPr>
          <w:t xml:space="preserve">`citations_clusterC.md`</w:t>
        </w:r>
      </w:hyperlink>
      <w:r>
        <w:rPr>
          <w:sz w:val="22"/>
        </w:rPr>
        <w:t>.</w:t>
      </w:r>
    </w:p>
    <w:p>
      <w:r>
        <w:rPr>
          <w:b/>
          <w:sz w:val="22"/>
        </w:rPr>
        <w:t>Deliberately omitted - UNVERIFIED:</w:t>
      </w:r>
      <w:r>
        <w:rPr>
          <w:sz w:val="22"/>
        </w:rPr>
        <w:t xml:space="preserve"> the multi-omics preprint "Multi-omics in 10,000 diverse individuals…" (Montgomery/Padhi, AoU) could not be located on PubMed, bioRxiv, medRxiv, or the web (title/authors/cohort unconfirmed). The 10k multi-omics program is described in the deliverables as a program activity (committee update), </w:t>
      </w:r>
      <w:r>
        <w:rPr>
          <w:b/>
          <w:sz w:val="22"/>
        </w:rPr>
        <w:t>not</w:t>
      </w:r>
      <w:r>
        <w:rPr>
          <w:sz w:val="22"/>
        </w:rPr>
        <w:t xml:space="preserve"> cited to a paper until one is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56/NEJMp1500523" TargetMode="External"/><Relationship Id="rId10" Type="http://schemas.openxmlformats.org/officeDocument/2006/relationships/hyperlink" Target="https://www.nih.gov/sites/default/files/research-training/initiatives/pmi/09172015-pmi-working-group-report.pdf" TargetMode="External"/><Relationship Id="rId11" Type="http://schemas.openxmlformats.org/officeDocument/2006/relationships/hyperlink" Target="https://doi.org/10.1056/NEJMsr1809937" TargetMode="External"/><Relationship Id="rId12" Type="http://schemas.openxmlformats.org/officeDocument/2006/relationships/hyperlink" Target="https://doi.org/10.1371/journal.pone.0234962" TargetMode="External"/><Relationship Id="rId13" Type="http://schemas.openxmlformats.org/officeDocument/2006/relationships/hyperlink" Target="https://doi.org/10.1016/j.cell.2021.01.015" TargetMode="External"/><Relationship Id="rId14" Type="http://schemas.openxmlformats.org/officeDocument/2006/relationships/hyperlink" Target="https://doi.org/10.1136/amiajnl-2011-000376" TargetMode="External"/><Relationship Id="rId15" Type="http://schemas.openxmlformats.org/officeDocument/2006/relationships/hyperlink" Target="https://doi.org/10.1093/bioinformatics/btq126" TargetMode="External"/><Relationship Id="rId16" Type="http://schemas.openxmlformats.org/officeDocument/2006/relationships/hyperlink" Target="https://doi.org/10.1038/s41586-023-06957-x" TargetMode="External"/><Relationship Id="rId17" Type="http://schemas.openxmlformats.org/officeDocument/2006/relationships/hyperlink" Target="https://doi.org/10.1016/j.patter.2022.100570" TargetMode="External"/><Relationship Id="rId18" Type="http://schemas.openxmlformats.org/officeDocument/2006/relationships/hyperlink" Target="https://doi.org/10.2196/45103" TargetMode="External"/><Relationship Id="rId19" Type="http://schemas.openxmlformats.org/officeDocument/2006/relationships/hyperlink" Target="https://www.nih.gov/allofus/funding/partnered-research-studies" TargetMode="External"/><Relationship Id="rId20" Type="http://schemas.openxmlformats.org/officeDocument/2006/relationships/hyperlink" Target="https://doi.org/10.1177/15409996261434111" TargetMode="External"/><Relationship Id="rId21" Type="http://schemas.openxmlformats.org/officeDocument/2006/relationships/hyperlink" Target="https://doi.org/10.1371/journal.pmed.1001779" TargetMode="External"/><Relationship Id="rId22" Type="http://schemas.openxmlformats.org/officeDocument/2006/relationships/hyperlink" Target="https://doi.org/10.1016/j.jclinepi.2015.09.016" TargetMode="External"/><Relationship Id="rId23" Type="http://schemas.openxmlformats.org/officeDocument/2006/relationships/hyperlink" Target="https://doi.org/10.1038/s41586-022-05473-8" TargetMode="External"/><Relationship Id="rId24" Type="http://schemas.openxmlformats.org/officeDocument/2006/relationships/hyperlink" Target="https://doi.org/10.1093/ije/dyr120" TargetMode="External"/><Relationship Id="rId25" Type="http://schemas.openxmlformats.org/officeDocument/2006/relationships/hyperlink" Target="https://doi.org/10.1016/j.cell.2019.02.048" TargetMode="External"/><Relationship Id="rId26" Type="http://schemas.openxmlformats.org/officeDocument/2006/relationships/hyperlink" Target="https://doi.org/10.1038/s41588-019-0379-x" TargetMode="External"/><Relationship Id="rId27" Type="http://schemas.openxmlformats.org/officeDocument/2006/relationships/hyperlink" Target="https://doi.org/10.1093/aje/kwx246" TargetMode="External"/><Relationship Id="rId28" Type="http://schemas.openxmlformats.org/officeDocument/2006/relationships/hyperlink" Target="https://doi.org/10.1038/s41586-023-05881-4" TargetMode="External"/><Relationship Id="rId29" Type="http://schemas.openxmlformats.org/officeDocument/2006/relationships/hyperlink" Target="https://doi.org/10.1038/s41586-023-06291-2" TargetMode="External"/><Relationship Id="rId30" Type="http://schemas.openxmlformats.org/officeDocument/2006/relationships/hyperlink" Target="https://doi.org/10.1038/s41592-024-02523-z" TargetMode="External"/><Relationship Id="rId31" Type="http://schemas.openxmlformats.org/officeDocument/2006/relationships/hyperlink" Target="https://doi.org/10.1126/science.ado9336" TargetMode="External"/><Relationship Id="rId32" Type="http://schemas.openxmlformats.org/officeDocument/2006/relationships/hyperlink" Target="https://doi.org/10.1038/s41591-022-01981-2" TargetMode="External"/><Relationship Id="rId33" Type="http://schemas.openxmlformats.org/officeDocument/2006/relationships/hyperlink" Target="https://doi.org/10.1097/HEP.0000000000000520" TargetMode="External"/><Relationship Id="rId34" Type="http://schemas.openxmlformats.org/officeDocument/2006/relationships/hyperlink" Target="https://doi.org/10.1093/aje/kwv254" TargetMode="External"/><Relationship Id="rId35" Type="http://schemas.openxmlformats.org/officeDocument/2006/relationships/hyperlink" Target="https://doi.org/10.1038/s41586-021-03819-2" TargetMode="External"/><Relationship Id="rId36" Type="http://schemas.openxmlformats.org/officeDocument/2006/relationships/hyperlink" Target="https://doi.org/10.1093/jamia/ocaa196" TargetMode="External"/><Relationship Id="rId37" Type="http://schemas.openxmlformats.org/officeDocument/2006/relationships/hyperlink" Target="https://doi.org/10.1016/j.xgen.2021.100085" TargetMode="External"/><Relationship Id="rId38" Type="http://schemas.openxmlformats.org/officeDocument/2006/relationships/hyperlink" Target="https://doi.org/10.1093/jamia/ocad048" TargetMode="External"/><Relationship Id="rId39" Type="http://schemas.openxmlformats.org/officeDocument/2006/relationships/hyperlink" Target="https://doi.org/10.12688/f1000research.10137.1" TargetMode="External"/><Relationship Id="rId40" Type="http://schemas.openxmlformats.org/officeDocument/2006/relationships/hyperlink" Target="https://doi.org/10.1038/sdata.2016.18" TargetMode="External"/><Relationship Id="rId41" Type="http://schemas.openxmlformats.org/officeDocument/2006/relationships/hyperlink" Target="https://doi.org/10.1016/j.xgen.2021.100029" TargetMode="External"/><Relationship Id="rId42" Type="http://schemas.openxmlformats.org/officeDocument/2006/relationships/hyperlink" Target="https://doi.org/10.1126/science.aax2342" TargetMode="External"/><Relationship Id="rId43" Type="http://schemas.openxmlformats.org/officeDocument/2006/relationships/hyperlink" Target="https://doi.org/10.1038/s41591-019-0548-6" TargetMode="External"/><Relationship Id="rId44" Type="http://schemas.openxmlformats.org/officeDocument/2006/relationships/hyperlink" Target="https://doi.org/10.7326/M18-1990" TargetMode="External"/><Relationship Id="rId45" Type="http://schemas.openxmlformats.org/officeDocument/2006/relationships/hyperlink" Target="https://doi.org/10.1056/NEJMp1714229" TargetMode="External"/><Relationship Id="rId46" Type="http://schemas.openxmlformats.org/officeDocument/2006/relationships/hyperlink" Target="https://doi.org/10.1093/aje/kwag010" TargetMode="External"/><Relationship Id="rId47" Type="http://schemas.openxmlformats.org/officeDocument/2006/relationships/hyperlink" Target="https://CRAN.R-project.org/package=waou" TargetMode="External"/><Relationship Id="rId48" Type="http://schemas.openxmlformats.org/officeDocument/2006/relationships/hyperlink" Target="outline.md" TargetMode="External"/><Relationship Id="rId49" Type="http://schemas.openxmlformats.org/officeDocument/2006/relationships/hyperlink" Target="https://doi.org/10.1093/nar/gkz997" TargetMode="External"/><Relationship Id="rId50" Type="http://schemas.openxmlformats.org/officeDocument/2006/relationships/hyperlink" Target="https://doi.org/10.1093/nar/gkad1082" TargetMode="External"/><Relationship Id="rId51" Type="http://schemas.openxmlformats.org/officeDocument/2006/relationships/hyperlink" Target="https://doi.org/10.1093/nar/gkaa1043" TargetMode="External"/><Relationship Id="rId52" Type="http://schemas.openxmlformats.org/officeDocument/2006/relationships/hyperlink" Target="https://doi.org/10.1038/s41587-022-01357-4" TargetMode="External"/><Relationship Id="rId53" Type="http://schemas.openxmlformats.org/officeDocument/2006/relationships/hyperlink" Target="https://doi.org/10.1093/genetics/iyaf215" TargetMode="External"/><Relationship Id="rId54" Type="http://schemas.openxmlformats.org/officeDocument/2006/relationships/hyperlink" Target="https://pubmed.ncbi.nlm.nih.gov/25635347/" TargetMode="External"/><Relationship Id="rId55" Type="http://schemas.openxmlformats.org/officeDocument/2006/relationships/hyperlink" Target="https://pubmed.ncbi.nlm.nih.gov/31412182/" TargetMode="External"/><Relationship Id="rId56" Type="http://schemas.openxmlformats.org/officeDocument/2006/relationships/hyperlink" Target="https://pmc.ncbi.nlm.nih.gov/articles/PMC7329113/" TargetMode="External"/><Relationship Id="rId57" Type="http://schemas.openxmlformats.org/officeDocument/2006/relationships/hyperlink" Target="https://pmc.ncbi.nlm.nih.gov/articles/PMC10937371/" TargetMode="External"/><Relationship Id="rId58" Type="http://schemas.openxmlformats.org/officeDocument/2006/relationships/hyperlink" Target="https://pmc.ncbi.nlm.nih.gov/articles/PMC9403360/" TargetMode="External"/><Relationship Id="rId59" Type="http://schemas.openxmlformats.org/officeDocument/2006/relationships/hyperlink" Target="https://pmc.ncbi.nlm.nih.gov/articles/PMC3240764/" TargetMode="External"/><Relationship Id="rId60" Type="http://schemas.openxmlformats.org/officeDocument/2006/relationships/hyperlink" Target="https://doi.org/10.3233/978-1-61499-564-7-574" TargetMode="External"/><Relationship Id="rId61" Type="http://schemas.openxmlformats.org/officeDocument/2006/relationships/hyperlink" Target="https://pubmed.ncbi.nlm.nih.gov/20335276/" TargetMode="External"/><Relationship Id="rId62" Type="http://schemas.openxmlformats.org/officeDocument/2006/relationships/hyperlink" Target="https://pubmed.ncbi.nlm.nih.gov/24270849/" TargetMode="External"/><Relationship Id="rId63" Type="http://schemas.openxmlformats.org/officeDocument/2006/relationships/hyperlink" Target="https://doi.org/10.1038/nbt.2749" TargetMode="External"/><Relationship Id="rId64" Type="http://schemas.openxmlformats.org/officeDocument/2006/relationships/hyperlink" Target="https://doi.org/10.1038/nrg2999" TargetMode="External"/><Relationship Id="rId65" Type="http://schemas.openxmlformats.org/officeDocument/2006/relationships/hyperlink" Target="https://pmc.ncbi.nlm.nih.gov/articles/PMC4416392/" TargetMode="External"/><Relationship Id="rId66" Type="http://schemas.openxmlformats.org/officeDocument/2006/relationships/hyperlink" Target="https://doi.org/10.1186/s13073-015-0166-y" TargetMode="External"/><Relationship Id="rId67" Type="http://schemas.openxmlformats.org/officeDocument/2006/relationships/hyperlink" Target="https://doi.org/10.1007/s11192-009-0146-3" TargetMode="External"/><Relationship Id="rId68" Type="http://schemas.openxmlformats.org/officeDocument/2006/relationships/hyperlink" Target="https://doi.org/10.1002/asi.21419" TargetMode="External"/><Relationship Id="rId69" Type="http://schemas.openxmlformats.org/officeDocument/2006/relationships/hyperlink" Target="https://www.jmlr.org/papers/v3/blei03a.html" TargetMode="External"/><Relationship Id="rId70" Type="http://schemas.openxmlformats.org/officeDocument/2006/relationships/hyperlink" Target="https://pubmed.ncbi.nlm.nih.gov/25826379/" TargetMode="External"/><Relationship Id="rId71" Type="http://schemas.openxmlformats.org/officeDocument/2006/relationships/hyperlink" Target="https://doi.org/10.1038/s41586-018-0579-z" TargetMode="External"/><Relationship Id="rId72" Type="http://schemas.openxmlformats.org/officeDocument/2006/relationships/hyperlink" Target="https://pubmed.ncbi.nlm.nih.gov/26441289/" TargetMode="External"/><Relationship Id="rId73" Type="http://schemas.openxmlformats.org/officeDocument/2006/relationships/hyperlink" Target="https://pubmed.ncbi.nlm.nih.gov/36653562/" TargetMode="External"/><Relationship Id="rId74" Type="http://schemas.openxmlformats.org/officeDocument/2006/relationships/hyperlink" Target="https://pubmed.ncbi.nlm.nih.gov/22158673/" TargetMode="External"/><Relationship Id="rId75" Type="http://schemas.openxmlformats.org/officeDocument/2006/relationships/hyperlink" Target="https://doi.org/10.1038/s41586-021-04103-z" TargetMode="External"/><Relationship Id="rId76" Type="http://schemas.openxmlformats.org/officeDocument/2006/relationships/hyperlink" Target="https://pubmed.ncbi.nlm.nih.gov/35859178/" TargetMode="External"/><Relationship Id="rId77" Type="http://schemas.openxmlformats.org/officeDocument/2006/relationships/hyperlink" Target="https://doi.org/10.1038/s41586-022-04965-x" TargetMode="External"/><Relationship Id="rId78" Type="http://schemas.openxmlformats.org/officeDocument/2006/relationships/hyperlink" Target="https://doi.org/10.1126/science.adj1182" TargetMode="External"/><Relationship Id="rId79" Type="http://schemas.openxmlformats.org/officeDocument/2006/relationships/hyperlink" Target="https://pmc.ncbi.nlm.nih.gov/articles/PMC6785182/" TargetMode="External"/><Relationship Id="rId80" Type="http://schemas.openxmlformats.org/officeDocument/2006/relationships/hyperlink" Target="https://doi.org/10.1038/s41586-019-1310-4" TargetMode="External"/><Relationship Id="rId81" Type="http://schemas.openxmlformats.org/officeDocument/2006/relationships/hyperlink" Target="https://pmc.ncbi.nlm.nih.gov/articles/PMC9903716/" TargetMode="External"/><Relationship Id="rId82" Type="http://schemas.openxmlformats.org/officeDocument/2006/relationships/hyperlink" Target="https://doi.org/10.1016/j.xgen.2022.100192" TargetMode="External"/><Relationship Id="rId83" Type="http://schemas.openxmlformats.org/officeDocument/2006/relationships/hyperlink" Target="https://pubmed.ncbi.nlm.nih.gov/30901543/" TargetMode="External"/><Relationship Id="rId84" Type="http://schemas.openxmlformats.org/officeDocument/2006/relationships/hyperlink" Target="https://doi.org/10.1038/538161a" TargetMode="External"/><Relationship Id="rId85" Type="http://schemas.openxmlformats.org/officeDocument/2006/relationships/hyperlink" Target="https://pubmed.ncbi.nlm.nih.gov/28641372/" TargetMode="External"/><Relationship Id="rId86" Type="http://schemas.openxmlformats.org/officeDocument/2006/relationships/hyperlink" Target="https://doi.org/10.1038/s42003-018-0261-x" TargetMode="External"/><Relationship Id="rId87" Type="http://schemas.openxmlformats.org/officeDocument/2006/relationships/hyperlink" Target="https://pubmed.ncbi.nlm.nih.gov/37045921/" TargetMode="External"/><Relationship Id="rId88" Type="http://schemas.openxmlformats.org/officeDocument/2006/relationships/hyperlink" Target="https://pubmed.ncbi.nlm.nih.gov/37438534/" TargetMode="External"/><Relationship Id="rId89" Type="http://schemas.openxmlformats.org/officeDocument/2006/relationships/hyperlink" Target="https://arxiv.org/abs/2303.13375" TargetMode="External"/><Relationship Id="rId90" Type="http://schemas.openxmlformats.org/officeDocument/2006/relationships/hyperlink" Target="https://doi.org/10.48550/arXiv.2303.13375" TargetMode="External"/><Relationship Id="rId91" Type="http://schemas.openxmlformats.org/officeDocument/2006/relationships/hyperlink" Target="https://doi.org/10.1371/journal.pdig.0000198" TargetMode="External"/><Relationship Id="rId92" Type="http://schemas.openxmlformats.org/officeDocument/2006/relationships/hyperlink" Target="https://doi.org/10.1038/s41586-025-08866-7" TargetMode="External"/><Relationship Id="rId93" Type="http://schemas.openxmlformats.org/officeDocument/2006/relationships/hyperlink" Target="https://www.nature.com/articles/s41746-024-01083-y" TargetMode="External"/><Relationship Id="rId94" Type="http://schemas.openxmlformats.org/officeDocument/2006/relationships/hyperlink" Target="https://doi.org/10.1038/s41746-024-01083-y" TargetMode="External"/><Relationship Id="rId95" Type="http://schemas.openxmlformats.org/officeDocument/2006/relationships/hyperlink" Target="https://pmc.ncbi.nlm.nih.gov/articles/PMC11025658" TargetMode="External"/><Relationship Id="rId96" Type="http://schemas.openxmlformats.org/officeDocument/2006/relationships/hyperlink" Target="https://doi.org/10.1093/bioinformatics/btab083" TargetMode="External"/><Relationship Id="rId97" Type="http://schemas.openxmlformats.org/officeDocument/2006/relationships/hyperlink" Target="https://doi.org/10.1101/2025.02.18.638918" TargetMode="External"/><Relationship Id="rId98" Type="http://schemas.openxmlformats.org/officeDocument/2006/relationships/hyperlink" Target="https://pubmed.ncbi.nlm.nih.gov/34663944/" TargetMode="External"/><Relationship Id="rId99" Type="http://schemas.openxmlformats.org/officeDocument/2006/relationships/hyperlink" Target="https://doi.org/10.1038/s41568-021-00408-3" TargetMode="External"/><Relationship Id="rId100" Type="http://schemas.openxmlformats.org/officeDocument/2006/relationships/hyperlink" Target="https://pubmed.ncbi.nlm.nih.gov/38324483/" TargetMode="External"/><Relationship Id="rId101" Type="http://schemas.openxmlformats.org/officeDocument/2006/relationships/hyperlink" Target="https://doi.org/10.1056/NEJMoa2309000" TargetMode="External"/><Relationship Id="rId102" Type="http://schemas.openxmlformats.org/officeDocument/2006/relationships/hyperlink" Target="https://pubmed.ncbi.nlm.nih.gov/26994063/" TargetMode="External"/><Relationship Id="rId103" Type="http://schemas.openxmlformats.org/officeDocument/2006/relationships/hyperlink" Target="https://doi.org/10.1056/NEJMp2407586" TargetMode="External"/><Relationship Id="rId104" Type="http://schemas.openxmlformats.org/officeDocument/2006/relationships/hyperlink" Target="https://pubmed.ncbi.nlm.nih.gov/34265844/" TargetMode="External"/><Relationship Id="rId105" Type="http://schemas.openxmlformats.org/officeDocument/2006/relationships/hyperlink" Target="https://pmc.ncbi.nlm.nih.gov/articles/PMC11168924" TargetMode="External"/><Relationship Id="rId106" Type="http://schemas.openxmlformats.org/officeDocument/2006/relationships/hyperlink" Target="https://doi.org/10.1038/s41586-024-07487-w" TargetMode="External"/><Relationship Id="rId107" Type="http://schemas.openxmlformats.org/officeDocument/2006/relationships/hyperlink" Target="https://pubmed.ncbi.nlm.nih.gov/33408395/" TargetMode="External"/><Relationship Id="rId108" Type="http://schemas.openxmlformats.org/officeDocument/2006/relationships/hyperlink" Target="https://doi.org/10.1038/s41592-020-01033-y" TargetMode="External"/><Relationship Id="rId109" Type="http://schemas.openxmlformats.org/officeDocument/2006/relationships/hyperlink" Target="https://doi.org/10.7554/eLife.27041" TargetMode="External"/><Relationship Id="rId110" Type="http://schemas.openxmlformats.org/officeDocument/2006/relationships/hyperlink" Target="https://pubmed.ncbi.nlm.nih.gov/35549404/" TargetMode="External"/><Relationship Id="rId111" Type="http://schemas.openxmlformats.org/officeDocument/2006/relationships/hyperlink" Target="https://doi.org/10.1126/science.abl4896" TargetMode="External"/><Relationship Id="rId112" Type="http://schemas.openxmlformats.org/officeDocument/2006/relationships/hyperlink" Target="https://doi.org/10.1111/cts.12591" TargetMode="External"/><Relationship Id="rId113" Type="http://schemas.openxmlformats.org/officeDocument/2006/relationships/hyperlink" Target="https://academic.oup.com/aje/article/195/7/1962/8426105" TargetMode="External"/><Relationship Id="rId114" Type="http://schemas.openxmlformats.org/officeDocument/2006/relationships/hyperlink" Target="https://journals.sagepub.com/doi/10.1177/15409996261434111" TargetMode="External"/><Relationship Id="rId115" Type="http://schemas.openxmlformats.org/officeDocument/2006/relationships/hyperlink" Target="citations_cluster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