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Where a diverse national cohort should go next: a data-driven refresh of the All of Us scientific roadmap</w:t>
      </w:r>
    </w:p>
    <w:p>
      <w:r>
        <w:rPr>
          <w:i/>
          <w:sz w:val="22"/>
        </w:rPr>
        <w:t>Annotated outline (sections with coverage and rationale, not drafted prose). A data-driven perspective for the All of Us Science Committee, program leadership, NIH, and the biobank and informatics community. Data current as of 2026-10-21. Verified key citations are listed per section; the full reference list with DOIs is at the end.</w:t>
      </w:r>
    </w:p>
    <w:p>
      <w:pPr>
        <w:pStyle w:val="Heading1"/>
      </w:pPr>
      <w:r>
        <w:t>Key takeaways (the points every section supports)</w:t>
      </w:r>
    </w:p>
    <w:p>
      <w:pPr>
        <w:pStyle w:val="ListNumber"/>
      </w:pPr>
      <w:r>
        <w:rPr>
          <w:sz w:val="22"/>
        </w:rPr>
        <w:t>The eight focus areas still hold, but three fast-growing bodies of work have no home in the framework (data science and AI methods ~18% of output, wearables, multi-omics). Propose a ninth focus area, "Data, AI &amp; Methods."</w:t>
      </w:r>
    </w:p>
    <w:p>
      <w:pPr>
        <w:pStyle w:val="ListNumber"/>
      </w:pPr>
      <w:r>
        <w:rPr>
          <w:sz w:val="22"/>
        </w:rPr>
        <w:t>All of Us has a distinctive identity worth protecting: it leads peers on health equity and social determinants, ethics and engagement, pharmacogenomics, and methods, driven by its diversity.</w:t>
      </w:r>
    </w:p>
    <w:p>
      <w:pPr>
        <w:pStyle w:val="ListNumber"/>
      </w:pPr>
      <w:r>
        <w:rPr>
          <w:sz w:val="22"/>
        </w:rPr>
        <w:t>All of Us trails peers in five areas the committee flagged: imaging, multi-omics, aging research, rare disease, and environmental and social data (some addressable now, some by-design).</w:t>
      </w:r>
    </w:p>
    <w:p>
      <w:pPr>
        <w:pStyle w:val="ListNumber"/>
      </w:pPr>
      <w:r>
        <w:rPr>
          <w:sz w:val="22"/>
        </w:rPr>
        <w:t>The field's leading edge is AI and foundation models; All of Us is almost absent (under ~0.3%) yet uniquely positioned to lead. Highest-leverage opportunity.</w:t>
      </w:r>
    </w:p>
    <w:p>
      <w:pPr>
        <w:pStyle w:val="ListNumber"/>
      </w:pPr>
      <w:r>
        <w:rPr>
          <w:sz w:val="22"/>
        </w:rPr>
        <w:t>The Researcher Workbench leads on data and compute but lacks a reusable-tools registry, a governed in-environment AI assistant, and portable workflows (independently corroborated by a 2026 ACT-IAC/AoU white paper).</w:t>
      </w:r>
    </w:p>
    <w:p>
      <w:pPr>
        <w:pStyle w:val="ListNumber"/>
      </w:pPr>
      <w:r>
        <w:rPr>
          <w:sz w:val="22"/>
        </w:rPr>
        <w:t>Ancillary studies are the leading edge the publication record cannot yet show; workspace activity precedes publications by a year or more, so score them on goals and live workspace signal.</w:t>
      </w:r>
    </w:p>
    <w:p>
      <w:pPr>
        <w:pStyle w:val="Heading1"/>
      </w:pPr>
      <w:r>
        <w:t>Abstract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One paragraph: the program's diversity-first thesis, what we analyzed (own output + external field + platform), the core findings in brief, and the forward vision.</w:t>
      </w:r>
    </w:p>
    <w:p>
      <w:r>
        <w:rPr>
          <w:b/>
          <w:sz w:val="22"/>
        </w:rPr>
        <w:t>Why.</w:t>
      </w:r>
      <w:r>
        <w:rPr>
          <w:sz w:val="22"/>
        </w:rPr>
        <w:t xml:space="preserve"> Sets the frame and the one-sentence argument ("All of Us scaled up everything around genomics that genomics needs to work in practice") before any detail.</w:t>
      </w:r>
    </w:p>
    <w:p>
      <w:pPr>
        <w:pStyle w:val="Heading1"/>
      </w:pPr>
      <w:r>
        <w:t>1. Introduction: why refresh the roadmap now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The Precision Medicine Initiative origin and diversity mandate; what a roadmap is for and the 2020 eight focus areas; the three forces that justify a 2026 refresh (corpus maturity, the AI frontier shift, peer-cohort competition); our contribution (an evidence-driven refresh from the program's own output plus the external field).</w:t>
      </w:r>
    </w:p>
    <w:p>
      <w:r>
        <w:rPr>
          <w:b/>
          <w:sz w:val="22"/>
        </w:rPr>
        <w:t>Why.</w:t>
      </w:r>
      <w:r>
        <w:rPr>
          <w:sz w:val="22"/>
        </w:rPr>
        <w:t xml:space="preserve"> Establishes that diversity is the scientific thesis, not a constraint, and that the refresh is earned by evidence rather than opinion.</w:t>
      </w:r>
    </w:p>
    <w:p>
      <w:r>
        <w:rPr>
          <w:b/>
          <w:sz w:val="22"/>
        </w:rPr>
        <w:t>Key citations:</w:t>
      </w:r>
      <w:r>
        <w:rPr>
          <w:sz w:val="22"/>
        </w:rPr>
        <w:t xml:space="preserve"> </w:t>
      </w:r>
      <w:hyperlink r:id="rId9">
        <w:r>
          <w:rPr>
            <w:color w:val="1155CC"/>
            <w:u w:val="single"/>
          </w:rPr>
          <w:t xml:space="preserve">Collins &amp; Varmus, NEJM 2015</w:t>
        </w:r>
      </w:hyperlink>
      <w:r>
        <w:rPr>
          <w:sz w:val="22"/>
        </w:rPr>
        <w:t xml:space="preserve">; </w:t>
      </w:r>
      <w:hyperlink r:id="rId10">
        <w:r>
          <w:rPr>
            <w:color w:val="1155CC"/>
            <w:u w:val="single"/>
          </w:rPr>
          <w:t xml:space="preserve">PMI Working Group report, NIH 2015</w:t>
        </w:r>
      </w:hyperlink>
      <w:r>
        <w:rPr>
          <w:sz w:val="22"/>
        </w:rPr>
        <w:t xml:space="preserve">; </w:t>
      </w:r>
      <w:hyperlink r:id="rId11">
        <w:r>
          <w:rPr>
            <w:color w:val="1155CC"/>
            <w:u w:val="single"/>
          </w:rPr>
          <w:t xml:space="preserve">All of Us Program, NEJM 2019</w:t>
        </w:r>
      </w:hyperlink>
      <w:r>
        <w:rPr>
          <w:sz w:val="22"/>
        </w:rPr>
        <w:t xml:space="preserve">; </w:t>
      </w:r>
      <w:hyperlink r:id="rId12">
        <w:r>
          <w:rPr>
            <w:color w:val="1155CC"/>
            <w:u w:val="single"/>
          </w:rPr>
          <w:t xml:space="preserve">Mapes et al. (diversity/UBR), PLoS ONE 2020</w:t>
        </w:r>
      </w:hyperlink>
      <w:r>
        <w:rPr>
          <w:sz w:val="22"/>
        </w:rPr>
        <w:t xml:space="preserve">; </w:t>
      </w:r>
      <w:hyperlink r:id="rId13">
        <w:r>
          <w:rPr>
            <w:color w:val="1155CC"/>
            <w:u w:val="single"/>
          </w:rPr>
          <w:t xml:space="preserve">Denny &amp; Collins, Cell 2021</w:t>
        </w:r>
      </w:hyperlink>
      <w:r>
        <w:rPr>
          <w:sz w:val="22"/>
        </w:rPr>
        <w:t>.</w:t>
      </w:r>
    </w:p>
    <w:p>
      <w:pPr>
        <w:pStyle w:val="Heading1"/>
      </w:pPr>
      <w:r>
        <w:t>2. How we did this analysis (methods)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The reproducible five-step pipeline, run over the program's own output and the external literature. Each step answers one question: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What we did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What it answers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1. Inventory the corpus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Pulled publications (feed reconciled to PubMed/iCite) and workspaces (live production API).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What has All of Us produced?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2. Tag by theme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Locked 19-theme taxonomy over title + abstract, plus a full-text layer.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What is the science about?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3. Map to NIH and attribute funding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Matched to 29 strategic plans (166 priorities); grant IDs to Institutes via RePORTER.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Which NIH priorities and ICs does it serve?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4. Compare to peer biobanks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Full-census name-search of UKB/FinnGen/MVP/CKB, same tagger, static share index.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How does All of Us differ?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5. Scan the frontier + benchmark the platform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Term-acceleration over 322,138 preprints + 460,285 grants; Workbench vs 5 platforms (87/87 verified); rubric scoring.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What is rising that AoU has not claimed, and what to build?</w:t>
            </w:r>
          </w:p>
        </w:tc>
      </w:tr>
    </w:tbl>
    <w:p/>
    <w:p>
      <w:r>
        <w:rPr>
          <w:b/>
          <w:sz w:val="22"/>
        </w:rPr>
        <w:t>Also covers.</w:t>
      </w:r>
      <w:r>
        <w:rPr>
          <w:sz w:val="22"/>
        </w:rPr>
        <w:t xml:space="preserve"> The numbers behind the pipeline, and three interpretive cautions (peer comparisons are relative-emphasis not head-to-head; workspace text is intent not execution; keyword tagging is directional but order-of-magnitude robust).</w:t>
      </w:r>
    </w:p>
    <w:p>
      <w:r>
        <w:rPr>
          <w:b/>
          <w:sz w:val="22"/>
        </w:rPr>
        <w:t>Why.</w:t>
      </w:r>
      <w:r>
        <w:rPr>
          <w:sz w:val="22"/>
        </w:rPr>
        <w:t xml:space="preserve"> The method is what makes the conclusions defensible, and it is reusable for tracking the roadmap over time.</w:t>
      </w:r>
    </w:p>
    <w:p>
      <w:r>
        <w:rPr>
          <w:b/>
          <w:sz w:val="22"/>
        </w:rPr>
        <w:t>Key citations:</w:t>
      </w:r>
      <w:r>
        <w:rPr>
          <w:sz w:val="22"/>
        </w:rPr>
        <w:t xml:space="preserve"> </w:t>
      </w:r>
      <w:hyperlink r:id="rId14">
        <w:r>
          <w:rPr>
            <w:color w:val="1155CC"/>
            <w:u w:val="single"/>
          </w:rPr>
          <w:t xml:space="preserve">Overhage et al. (OMOP CDM), JAMIA 2012</w:t>
        </w:r>
      </w:hyperlink>
      <w:r>
        <w:rPr>
          <w:sz w:val="22"/>
        </w:rPr>
        <w:t xml:space="preserve">; </w:t>
      </w:r>
      <w:hyperlink r:id="rId15">
        <w:r>
          <w:rPr>
            <w:color w:val="1155CC"/>
            <w:u w:val="single"/>
          </w:rPr>
          <w:t xml:space="preserve">Denny et al. (PheWAS), Bioinformatics 2010</w:t>
        </w:r>
      </w:hyperlink>
      <w:r>
        <w:rPr>
          <w:sz w:val="22"/>
        </w:rPr>
        <w:t>.</w:t>
      </w:r>
    </w:p>
    <w:p>
      <w:pPr>
        <w:pStyle w:val="Heading1"/>
      </w:pPr>
      <w:r>
        <w:t>3. The All of Us research landscape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The theme distribution and the finding that the eight focus areas largely still fit; the three structural gaps (a data-science/AI/methods orphan, wearables, multi-omics); the NIH funding/IC landscape and pan-NIH framing; and the ancillary (partnered) studies as the leading edge (Exploring the Mind, Eyes on Health, Nutrition for Precision Health, Environmental Health and Exposomics), including the workspace-leads-publications finding and the live multi-omics and external-biospecimen activity.</w:t>
      </w:r>
    </w:p>
    <w:p>
      <w:r>
        <w:rPr>
          <w:b/>
          <w:sz w:val="22"/>
        </w:rPr>
        <w:t>Why.</w:t>
      </w:r>
      <w:r>
        <w:rPr>
          <w:sz w:val="22"/>
        </w:rPr>
        <w:t xml:space="preserve"> Shows what the program actually produces, where the framework is straining, and why a live workspace census (not a cached snapshot) is essential to see the newest science.</w:t>
      </w:r>
    </w:p>
    <w:p>
      <w:r>
        <w:rPr>
          <w:b/>
          <w:sz w:val="22"/>
        </w:rPr>
        <w:t>Key citations:</w:t>
      </w:r>
      <w:r>
        <w:rPr>
          <w:sz w:val="22"/>
        </w:rPr>
        <w:t xml:space="preserve"> </w:t>
      </w:r>
      <w:hyperlink r:id="rId16">
        <w:r>
          <w:rPr>
            <w:color w:val="1155CC"/>
            <w:u w:val="single"/>
          </w:rPr>
          <w:t xml:space="preserve">All of Us Genomic Data, Nature 2024</w:t>
        </w:r>
      </w:hyperlink>
      <w:r>
        <w:rPr>
          <w:sz w:val="22"/>
        </w:rPr>
        <w:t xml:space="preserve">; </w:t>
      </w:r>
      <w:hyperlink r:id="rId17">
        <w:r>
          <w:rPr>
            <w:color w:val="1155CC"/>
            <w:u w:val="single"/>
          </w:rPr>
          <w:t xml:space="preserve">Ramirez et al., Patterns 2022</w:t>
        </w:r>
      </w:hyperlink>
      <w:r>
        <w:rPr>
          <w:sz w:val="22"/>
        </w:rPr>
        <w:t xml:space="preserve">; </w:t>
      </w:r>
      <w:hyperlink r:id="rId18">
        <w:r>
          <w:rPr>
            <w:color w:val="1155CC"/>
            <w:u w:val="single"/>
          </w:rPr>
          <w:t xml:space="preserve">Lederer et al. (Fitbit), JMIR 2023</w:t>
        </w:r>
      </w:hyperlink>
      <w:r>
        <w:rPr>
          <w:sz w:val="22"/>
        </w:rPr>
        <w:t xml:space="preserve">; </w:t>
      </w:r>
      <w:hyperlink r:id="rId19">
        <w:r>
          <w:rPr>
            <w:color w:val="1155CC"/>
            <w:u w:val="single"/>
          </w:rPr>
          <w:t xml:space="preserve">NIH Partnered Research Studies</w:t>
        </w:r>
      </w:hyperlink>
      <w:r>
        <w:rPr>
          <w:sz w:val="22"/>
        </w:rPr>
        <w:t xml:space="preserve">; </w:t>
      </w:r>
      <w:hyperlink r:id="rId20">
        <w:r>
          <w:rPr>
            <w:color w:val="1155CC"/>
            <w:u w:val="single"/>
          </w:rPr>
          <w:t xml:space="preserve">Cohn et al. (Women's Health Driver Project), J Women's Health 2026</w:t>
        </w:r>
      </w:hyperlink>
      <w:r>
        <w:rPr>
          <w:sz w:val="22"/>
        </w:rPr>
        <w:t>.</w:t>
      </w:r>
    </w:p>
    <w:p>
      <w:pPr>
        <w:pStyle w:val="Heading1"/>
      </w:pPr>
      <w:r>
        <w:t>4. Benchmarking against peer biobanks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The comparator set and method; All of Us's distinctive strengths vs the peer median (SDOH/health equity, ELSI/engagement, pharmacogenomics, methods); the five areas where it trails (imaging, multi-omics, aging, rare disease, environmental/social); and the distinction between addressable gaps and by-design peer emphasis.</w:t>
      </w:r>
    </w:p>
    <w:p>
      <w:r>
        <w:rPr>
          <w:b/>
          <w:sz w:val="22"/>
        </w:rPr>
        <w:t>Why.</w:t>
      </w:r>
      <w:r>
        <w:rPr>
          <w:sz w:val="22"/>
        </w:rPr>
        <w:t xml:space="preserve"> Calibrates the program against comparable cohorts and makes the case that distinctiveness, not raw growth, is the durable signal, while taking the real gaps seriously.</w:t>
      </w:r>
    </w:p>
    <w:p>
      <w:r>
        <w:rPr>
          <w:b/>
          <w:sz w:val="22"/>
        </w:rPr>
        <w:t>Key citations:</w:t>
      </w:r>
      <w:r>
        <w:rPr>
          <w:sz w:val="22"/>
        </w:rPr>
        <w:t xml:space="preserve"> </w:t>
      </w:r>
      <w:hyperlink r:id="rId21">
        <w:r>
          <w:rPr>
            <w:color w:val="1155CC"/>
            <w:u w:val="single"/>
          </w:rPr>
          <w:t xml:space="preserve">Sudlow et al. (UK Biobank), PLoS Med 2015</w:t>
        </w:r>
      </w:hyperlink>
      <w:r>
        <w:rPr>
          <w:sz w:val="22"/>
        </w:rPr>
        <w:t xml:space="preserve">; </w:t>
      </w:r>
      <w:hyperlink r:id="rId22">
        <w:r>
          <w:rPr>
            <w:color w:val="1155CC"/>
            <w:u w:val="single"/>
          </w:rPr>
          <w:t xml:space="preserve">Gaziano et al. (MVP), J Clin Epidemiol 2016</w:t>
        </w:r>
      </w:hyperlink>
      <w:r>
        <w:rPr>
          <w:sz w:val="22"/>
        </w:rPr>
        <w:t xml:space="preserve">; </w:t>
      </w:r>
      <w:hyperlink r:id="rId23">
        <w:r>
          <w:rPr>
            <w:color w:val="1155CC"/>
            <w:u w:val="single"/>
          </w:rPr>
          <w:t xml:space="preserve">Kurki et al. (FinnGen), Nature 2023</w:t>
        </w:r>
      </w:hyperlink>
      <w:r>
        <w:rPr>
          <w:sz w:val="22"/>
        </w:rPr>
        <w:t xml:space="preserve">; </w:t>
      </w:r>
      <w:hyperlink r:id="rId24">
        <w:r>
          <w:rPr>
            <w:color w:val="1155CC"/>
            <w:u w:val="single"/>
          </w:rPr>
          <w:t xml:space="preserve">Chen et al. (China Kadoorie), Int J Epidemiol 2011</w:t>
        </w:r>
      </w:hyperlink>
      <w:r>
        <w:rPr>
          <w:sz w:val="22"/>
        </w:rPr>
        <w:t xml:space="preserve">; </w:t>
      </w:r>
      <w:hyperlink r:id="rId25">
        <w:r>
          <w:rPr>
            <w:color w:val="1155CC"/>
            <w:u w:val="single"/>
          </w:rPr>
          <w:t xml:space="preserve">Sirugo et al. (missing diversity), Cell 2019</w:t>
        </w:r>
      </w:hyperlink>
      <w:r>
        <w:rPr>
          <w:sz w:val="22"/>
        </w:rPr>
        <w:t xml:space="preserve">; </w:t>
      </w:r>
      <w:hyperlink r:id="rId26">
        <w:r>
          <w:rPr>
            <w:color w:val="1155CC"/>
            <w:u w:val="single"/>
          </w:rPr>
          <w:t xml:space="preserve">Martin et al. (PRS &amp; equity), Nat Genet 2019</w:t>
        </w:r>
      </w:hyperlink>
      <w:r>
        <w:rPr>
          <w:sz w:val="22"/>
        </w:rPr>
        <w:t xml:space="preserve">; </w:t>
      </w:r>
      <w:hyperlink r:id="rId27">
        <w:r>
          <w:rPr>
            <w:color w:val="1155CC"/>
            <w:u w:val="single"/>
          </w:rPr>
          <w:t xml:space="preserve">Fry et al. (representativeness), Am J Epidemiol 2017</w:t>
        </w:r>
      </w:hyperlink>
      <w:r>
        <w:rPr>
          <w:sz w:val="22"/>
        </w:rPr>
        <w:t>.</w:t>
      </w:r>
    </w:p>
    <w:p>
      <w:pPr>
        <w:pStyle w:val="Heading1"/>
      </w:pPr>
      <w:r>
        <w:t>5. Emerging scientific frontiers and All of Us white space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The horizon-scan method and its result that AI and foundation models are the fastest-rising frontier; the feasibility-filtered opportunities (genomic foundation models as the highest-leverage, in-environment LLM and agentic workflows, MASLD as a cheap phenotype, target-trial emulation); and the boundary of frontiers that need assays AoU does not generate (single-cell/spatial, protein structure) where AoU should partner, not chase.</w:t>
      </w:r>
    </w:p>
    <w:p>
      <w:r>
        <w:rPr>
          <w:b/>
          <w:sz w:val="22"/>
        </w:rPr>
        <w:t>Why.</w:t>
      </w:r>
      <w:r>
        <w:rPr>
          <w:sz w:val="22"/>
        </w:rPr>
        <w:t xml:space="preserve"> Separates what is merely trendy from what All of Us can uniquely act on, and identifies the single highest-leverage opportunity.</w:t>
      </w:r>
    </w:p>
    <w:p>
      <w:r>
        <w:rPr>
          <w:b/>
          <w:sz w:val="22"/>
        </w:rPr>
        <w:t>Key citations:</w:t>
      </w:r>
      <w:r>
        <w:rPr>
          <w:sz w:val="22"/>
        </w:rPr>
        <w:t xml:space="preserve"> </w:t>
      </w:r>
      <w:hyperlink r:id="rId28">
        <w:r>
          <w:rPr>
            <w:color w:val="1155CC"/>
            <w:u w:val="single"/>
          </w:rPr>
          <w:t xml:space="preserve">Moor et al. (generalist medical AI), Nature 2023</w:t>
        </w:r>
      </w:hyperlink>
      <w:r>
        <w:rPr>
          <w:sz w:val="22"/>
        </w:rPr>
        <w:t xml:space="preserve">; </w:t>
      </w:r>
      <w:hyperlink r:id="rId29">
        <w:r>
          <w:rPr>
            <w:color w:val="1155CC"/>
            <w:u w:val="single"/>
          </w:rPr>
          <w:t xml:space="preserve">Singhal et al. (Med-PaLM), Nature 2023</w:t>
        </w:r>
      </w:hyperlink>
      <w:r>
        <w:rPr>
          <w:sz w:val="22"/>
        </w:rPr>
        <w:t xml:space="preserve">; </w:t>
      </w:r>
      <w:hyperlink r:id="rId30">
        <w:r>
          <w:rPr>
            <w:color w:val="1155CC"/>
            <w:u w:val="single"/>
          </w:rPr>
          <w:t xml:space="preserve">Dalla-Torre et al. (Nucleotide Transformer), Nat Methods 2025</w:t>
        </w:r>
      </w:hyperlink>
      <w:r>
        <w:rPr>
          <w:sz w:val="22"/>
        </w:rPr>
        <w:t xml:space="preserve">; </w:t>
      </w:r>
      <w:hyperlink r:id="rId31">
        <w:r>
          <w:rPr>
            <w:color w:val="1155CC"/>
            <w:u w:val="single"/>
          </w:rPr>
          <w:t xml:space="preserve">Nguyen et al. (Evo), Science 2024</w:t>
        </w:r>
      </w:hyperlink>
      <w:r>
        <w:rPr>
          <w:sz w:val="22"/>
        </w:rPr>
        <w:t xml:space="preserve">; </w:t>
      </w:r>
      <w:hyperlink r:id="rId32">
        <w:r>
          <w:rPr>
            <w:color w:val="1155CC"/>
            <w:u w:val="single"/>
          </w:rPr>
          <w:t xml:space="preserve">Acosta et al. (multimodal), Nat Med 2022</w:t>
        </w:r>
      </w:hyperlink>
      <w:r>
        <w:rPr>
          <w:sz w:val="22"/>
        </w:rPr>
        <w:t xml:space="preserve">; </w:t>
      </w:r>
      <w:hyperlink r:id="rId33">
        <w:r>
          <w:rPr>
            <w:color w:val="1155CC"/>
            <w:u w:val="single"/>
          </w:rPr>
          <w:t xml:space="preserve">Rinella et al. (MASLD), Hepatology 2023</w:t>
        </w:r>
      </w:hyperlink>
      <w:r>
        <w:rPr>
          <w:sz w:val="22"/>
        </w:rPr>
        <w:t xml:space="preserve">; </w:t>
      </w:r>
      <w:hyperlink r:id="rId34">
        <w:r>
          <w:rPr>
            <w:color w:val="1155CC"/>
            <w:u w:val="single"/>
          </w:rPr>
          <w:t xml:space="preserve">Hernán &amp; Robins (target-trial emulation), Am J Epidemiol 2016</w:t>
        </w:r>
      </w:hyperlink>
      <w:r>
        <w:rPr>
          <w:sz w:val="22"/>
        </w:rPr>
        <w:t xml:space="preserve">; </w:t>
      </w:r>
      <w:hyperlink r:id="rId35">
        <w:r>
          <w:rPr>
            <w:color w:val="1155CC"/>
            <w:u w:val="single"/>
          </w:rPr>
          <w:t xml:space="preserve">Jumper et al. (AlphaFold), Nature 2021</w:t>
        </w:r>
      </w:hyperlink>
      <w:r>
        <w:rPr>
          <w:sz w:val="22"/>
        </w:rPr>
        <w:t>.</w:t>
      </w:r>
    </w:p>
    <w:p>
      <w:pPr>
        <w:pStyle w:val="Heading1"/>
      </w:pPr>
      <w:r>
        <w:t>6. The analysis platform: the Researcher Workbench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Why the platform shapes the science; the comparator benchmark (N3C, Terra/AnVIL, BioData Catalyst, UKB-RAP, Kids First) and where the Workbench leads (data, compute); the three remediable gaps (reuse registry, governed in-environment AI, portable workflows) and the BAA/in-VPC path; the reuse signal from the workspace census (87.7% solo, 3.2% multi-institution, ~18% tutorial clones); and the independent corroboration from the 2026 ACT-IAC/AoU white paper.</w:t>
      </w:r>
    </w:p>
    <w:p>
      <w:r>
        <w:rPr>
          <w:b/>
          <w:sz w:val="22"/>
        </w:rPr>
        <w:t>Why.</w:t>
      </w:r>
      <w:r>
        <w:rPr>
          <w:sz w:val="22"/>
        </w:rPr>
        <w:t xml:space="preserve"> Science is bounded by the platform; the gaps that matter are not data or compute but the capabilities that turn them into shared, reusable, AI-enabled science.</w:t>
      </w:r>
    </w:p>
    <w:p>
      <w:r>
        <w:rPr>
          <w:b/>
          <w:sz w:val="22"/>
        </w:rPr>
        <w:t>Key citations:</w:t>
      </w:r>
      <w:r>
        <w:rPr>
          <w:sz w:val="22"/>
        </w:rPr>
        <w:t xml:space="preserve"> </w:t>
      </w:r>
      <w:hyperlink r:id="rId36">
        <w:r>
          <w:rPr>
            <w:color w:val="1155CC"/>
            <w:u w:val="single"/>
          </w:rPr>
          <w:t xml:space="preserve">Haendel et al. (N3C), JAMIA 2021</w:t>
        </w:r>
      </w:hyperlink>
      <w:r>
        <w:rPr>
          <w:sz w:val="22"/>
        </w:rPr>
        <w:t xml:space="preserve">; </w:t>
      </w:r>
      <w:hyperlink r:id="rId37">
        <w:r>
          <w:rPr>
            <w:color w:val="1155CC"/>
            <w:u w:val="single"/>
          </w:rPr>
          <w:t xml:space="preserve">Schatz et al. (AnVIL), Cell Genomics 2022</w:t>
        </w:r>
      </w:hyperlink>
      <w:r>
        <w:rPr>
          <w:sz w:val="22"/>
        </w:rPr>
        <w:t xml:space="preserve">; </w:t>
      </w:r>
      <w:hyperlink r:id="rId38">
        <w:r>
          <w:rPr>
            <w:color w:val="1155CC"/>
            <w:u w:val="single"/>
          </w:rPr>
          <w:t xml:space="preserve">Ahalt et al. (BioData Catalyst), JAMIA 2023</w:t>
        </w:r>
      </w:hyperlink>
      <w:r>
        <w:rPr>
          <w:sz w:val="22"/>
        </w:rPr>
        <w:t xml:space="preserve">; </w:t>
      </w:r>
      <w:hyperlink r:id="rId39">
        <w:r>
          <w:rPr>
            <w:color w:val="1155CC"/>
            <w:u w:val="single"/>
          </w:rPr>
          <w:t xml:space="preserve">O'Connor et al. (Dockstore), F1000Research 2017</w:t>
        </w:r>
      </w:hyperlink>
      <w:r>
        <w:rPr>
          <w:sz w:val="22"/>
        </w:rPr>
        <w:t xml:space="preserve">; </w:t>
      </w:r>
      <w:hyperlink r:id="rId40">
        <w:r>
          <w:rPr>
            <w:color w:val="1155CC"/>
            <w:u w:val="single"/>
          </w:rPr>
          <w:t xml:space="preserve">Wilkinson et al. (FAIR), Sci Data 2016</w:t>
        </w:r>
      </w:hyperlink>
      <w:r>
        <w:rPr>
          <w:sz w:val="22"/>
        </w:rPr>
        <w:t xml:space="preserve">; </w:t>
      </w:r>
      <w:hyperlink r:id="rId41">
        <w:r>
          <w:rPr>
            <w:color w:val="1155CC"/>
            <w:u w:val="single"/>
          </w:rPr>
          <w:t xml:space="preserve">Rehm et al. (GA4GH), Cell Genomics 2021</w:t>
        </w:r>
      </w:hyperlink>
      <w:r>
        <w:rPr>
          <w:sz w:val="22"/>
        </w:rPr>
        <w:t>.</w:t>
      </w:r>
    </w:p>
    <w:p>
      <w:pPr>
        <w:pStyle w:val="Heading1"/>
      </w:pPr>
      <w:r>
        <w:t>7. Recommendations for the refreshed roadmap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The structural changes (add a ninth "Data, AI &amp; Methods" focus area; rename the genetics area to "Genetics, Multi-omics &amp; Biology" plus a proteomics-release roadmap); the Workbench builds (governed in-VPC AI co-scientist, reusable-tools registry, multimodal templates, and an internal no-egress foundation model guided by a "super user group"); adopting the committee's 2026 directions as standing mechanisms (driver-paper model for rare-disease and intersectional papers; generalizability weighting as a first-class capability tied to the external-biospecimen mechanism); protecting distinctiveness and governing AI responsibly; and measuring the roadmap by re-running the same methods over time.</w:t>
      </w:r>
    </w:p>
    <w:p>
      <w:r>
        <w:rPr>
          <w:b/>
          <w:sz w:val="22"/>
        </w:rPr>
        <w:t>Why.</w:t>
      </w:r>
      <w:r>
        <w:rPr>
          <w:sz w:val="22"/>
        </w:rPr>
        <w:t xml:space="preserve"> Translates every finding into a concrete, prioritized action, and unifies the highest-leverage opportunity with the clearest platform gap in a single build.</w:t>
      </w:r>
    </w:p>
    <w:p>
      <w:r>
        <w:rPr>
          <w:b/>
          <w:sz w:val="22"/>
        </w:rPr>
        <w:t>Key citations:</w:t>
      </w:r>
      <w:r>
        <w:rPr>
          <w:sz w:val="22"/>
        </w:rPr>
        <w:t xml:space="preserve"> </w:t>
      </w:r>
      <w:hyperlink r:id="rId42">
        <w:r>
          <w:rPr>
            <w:color w:val="1155CC"/>
            <w:u w:val="single"/>
          </w:rPr>
          <w:t xml:space="preserve">Obermeyer et al. (algorithmic bias), Science 2019</w:t>
        </w:r>
      </w:hyperlink>
      <w:r>
        <w:rPr>
          <w:sz w:val="22"/>
        </w:rPr>
        <w:t xml:space="preserve">; </w:t>
      </w:r>
      <w:hyperlink r:id="rId43">
        <w:r>
          <w:rPr>
            <w:color w:val="1155CC"/>
            <w:u w:val="single"/>
          </w:rPr>
          <w:t xml:space="preserve">Wiens et al. (responsible ML), Nat Med 2019</w:t>
        </w:r>
      </w:hyperlink>
      <w:r>
        <w:rPr>
          <w:sz w:val="22"/>
        </w:rPr>
        <w:t xml:space="preserve">; </w:t>
      </w:r>
      <w:hyperlink r:id="rId44">
        <w:r>
          <w:rPr>
            <w:color w:val="1155CC"/>
            <w:u w:val="single"/>
          </w:rPr>
          <w:t xml:space="preserve">Rajkomar et al. (fairness), Ann Intern Med 2018</w:t>
        </w:r>
      </w:hyperlink>
      <w:r>
        <w:rPr>
          <w:sz w:val="22"/>
        </w:rPr>
        <w:t xml:space="preserve">; </w:t>
      </w:r>
      <w:hyperlink r:id="rId45">
        <w:r>
          <w:rPr>
            <w:color w:val="1155CC"/>
            <w:u w:val="single"/>
          </w:rPr>
          <w:t xml:space="preserve">Char et al. (ethical ML), NEJM 2018</w:t>
        </w:r>
      </w:hyperlink>
      <w:r>
        <w:rPr>
          <w:sz w:val="22"/>
        </w:rPr>
        <w:t xml:space="preserve">; </w:t>
      </w:r>
      <w:hyperlink r:id="rId46">
        <w:r>
          <w:rPr>
            <w:color w:val="1155CC"/>
            <w:u w:val="single"/>
          </w:rPr>
          <w:t xml:space="preserve">Montgomery et al. (generalizability), Am J Epidemiol 2026</w:t>
        </w:r>
      </w:hyperlink>
      <w:r>
        <w:rPr>
          <w:sz w:val="22"/>
        </w:rPr>
        <w:t xml:space="preserve">; </w:t>
      </w:r>
      <w:hyperlink r:id="rId47">
        <w:r>
          <w:rPr>
            <w:color w:val="1155CC"/>
            <w:u w:val="single"/>
          </w:rPr>
          <w:t xml:space="preserve">waou (CRAN)</w:t>
        </w:r>
      </w:hyperlink>
      <w:r>
        <w:rPr>
          <w:sz w:val="22"/>
        </w:rPr>
        <w:t xml:space="preserve">; </w:t>
      </w:r>
      <w:hyperlink r:id="rId20">
        <w:r>
          <w:rPr>
            <w:color w:val="1155CC"/>
            <w:u w:val="single"/>
          </w:rPr>
          <w:t xml:space="preserve">Cohn et al. (driver-paper model), J Women's Health 2026</w:t>
        </w:r>
      </w:hyperlink>
      <w:r>
        <w:rPr>
          <w:sz w:val="22"/>
        </w:rPr>
        <w:t>.</w:t>
      </w:r>
    </w:p>
    <w:p>
      <w:pPr>
        <w:pStyle w:val="Heading1"/>
      </w:pPr>
      <w:r>
        <w:t>8. A vision for the future of All of Us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A forward argument grounded in the program's history (it inverted the biobank model: diverse national cohort first, then surrounded genomes with longitudinal multi-modal data) and the field's trajectory (multi-modal analytics at scale, where value comes from triangulation across modalities no single data type can provide). The future shape for All of Us: the trusted diverse substrate on which ancestry-fair AI and foundation models are built; a governed no-egress in-environment model; a platform that becomes a reusable, AI-enabled ecosystem rather than a data-access environment; a live-signal roadmap that stays ahead of the publication lag; generalizability weighting so findings speak for the whole country; shared semantic and syntactic standards that close the research-to-care re-implementation gap; and reciprocity to participants. Closes on All of Us as the national model for responsible, equity-anchored, AI-ready discovery ("close the gap and complete the lifecycle").</w:t>
      </w:r>
    </w:p>
    <w:p>
      <w:r>
        <w:rPr>
          <w:b/>
          <w:sz w:val="22"/>
        </w:rPr>
        <w:t>Why.</w:t>
      </w:r>
      <w:r>
        <w:rPr>
          <w:sz w:val="22"/>
        </w:rPr>
        <w:t xml:space="preserve"> Gives the recommendations a destination and a narrative rooted in what All of Us uniquely is, connecting history, the field, and the roadmap.</w:t>
      </w:r>
    </w:p>
    <w:p>
      <w:r>
        <w:rPr>
          <w:b/>
          <w:sz w:val="22"/>
        </w:rPr>
        <w:t>Key citations (author-group anchors to build on):</w:t>
      </w:r>
      <w:r>
        <w:rPr>
          <w:sz w:val="22"/>
        </w:rPr>
        <w:t xml:space="preserve"> </w:t>
      </w:r>
      <w:hyperlink r:id="rId36">
        <w:r>
          <w:rPr>
            <w:color w:val="1155CC"/>
            <w:u w:val="single"/>
          </w:rPr>
          <w:t xml:space="preserve">Haendel et al. (N3C), JAMIA 2021</w:t>
        </w:r>
      </w:hyperlink>
      <w:r>
        <w:rPr>
          <w:sz w:val="22"/>
        </w:rPr>
        <w:t xml:space="preserve">; </w:t>
      </w:r>
      <w:hyperlink r:id="rId48">
        <w:r>
          <w:rPr>
            <w:color w:val="1155CC"/>
            <w:u w:val="single"/>
          </w:rPr>
          <w:t xml:space="preserve">Putman et al. (Monarch Initiative), Nucleic Acids Research 2024</w:t>
        </w:r>
      </w:hyperlink>
      <w:r>
        <w:rPr>
          <w:sz w:val="22"/>
        </w:rPr>
        <w:t xml:space="preserve">; </w:t>
      </w:r>
      <w:hyperlink r:id="rId40">
        <w:r>
          <w:rPr>
            <w:color w:val="1155CC"/>
            <w:u w:val="single"/>
          </w:rPr>
          <w:t xml:space="preserve">Wilkinson et al. (FAIR), Sci Data 2016</w:t>
        </w:r>
      </w:hyperlink>
      <w:r>
        <w:rPr>
          <w:sz w:val="22"/>
        </w:rPr>
        <w:t xml:space="preserve">; </w:t>
      </w:r>
      <w:hyperlink r:id="rId41">
        <w:r>
          <w:rPr>
            <w:color w:val="1155CC"/>
            <w:u w:val="single"/>
          </w:rPr>
          <w:t xml:space="preserve">Rehm et al. (GA4GH), Cell Genomics 2021</w:t>
        </w:r>
      </w:hyperlink>
      <w:r>
        <w:rPr>
          <w:sz w:val="22"/>
        </w:rPr>
        <w:t>.</w:t>
      </w:r>
    </w:p>
    <w:p>
      <w:pPr>
        <w:pStyle w:val="Heading1"/>
      </w:pPr>
      <w:r>
        <w:t>9. Limitations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Keyword tagging is directional; peer corpora are unaudited (read the share index, not trend differentials); grant/IC coverage ~30%; the full-text layer is not year-comparable; platform specifics rest on vendor documentation. One limitation doubles as a recommendation: the volunteer-cohort generalizability caveat, now addressable via the 2026 generalizability work and the </w:t>
      </w:r>
      <w:r>
        <w:rPr>
          <w:rFonts w:ascii="Consolas" w:hAnsi="Consolas"/>
          <w:sz w:val="21"/>
        </w:rPr>
        <w:t>waou</w:t>
      </w:r>
      <w:r>
        <w:rPr>
          <w:sz w:val="22"/>
        </w:rPr>
        <w:t xml:space="preserve"> package.</w:t>
      </w:r>
    </w:p>
    <w:p>
      <w:r>
        <w:rPr>
          <w:b/>
          <w:sz w:val="22"/>
        </w:rPr>
        <w:t>Why.</w:t>
      </w:r>
      <w:r>
        <w:rPr>
          <w:sz w:val="22"/>
        </w:rPr>
        <w:t xml:space="preserve"> States the honest bounds of the analysis and shows that the main limitation has a concrete remedy the roadmap recommends.</w:t>
      </w:r>
    </w:p>
    <w:p>
      <w:pPr>
        <w:pStyle w:val="Heading1"/>
      </w:pPr>
      <w:r>
        <w:t>10. Conclusion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One paragraph: keep the eight focus areas, add a ninth, name and fund multi-omics, build the governed-AI and reuse capabilities, protect distinctiveness. The data and the diversity are here; what remains is to close the gap.</w:t>
      </w:r>
    </w:p>
    <w:p>
      <w:r>
        <w:rPr>
          <w:b/>
          <w:sz w:val="22"/>
        </w:rPr>
        <w:t>Why.</w:t>
      </w:r>
      <w:r>
        <w:rPr>
          <w:sz w:val="22"/>
        </w:rPr>
        <w:t xml:space="preserve"> Leaves the reader with the single actionable throughline.</w:t>
      </w:r>
    </w:p>
    <w:p>
      <w:pPr>
        <w:pStyle w:val="Heading1"/>
      </w:pPr>
      <w:r>
        <w:t>Appendix: citation and sourcing notes</w:t>
      </w:r>
    </w:p>
    <w:p>
      <w:r>
        <w:rPr>
          <w:b/>
          <w:sz w:val="22"/>
        </w:rPr>
        <w:t>Covers.</w:t>
      </w:r>
      <w:r>
        <w:rPr>
          <w:sz w:val="22"/>
        </w:rPr>
        <w:t xml:space="preserve"> How citations were harvested and verified (four clusters mapped to the sections; every reference resolves to the exact paper; DOIs resolved via NCBI E-utilities; preprints tagged and flagged for journal-version upgrade; the ACT-IAC/AoU white paper cited as an unreleased draft, not quoted; the unverifiable multi-omics preprint deliberately omitted).</w:t>
      </w:r>
    </w:p>
    <w:p>
      <w:r>
        <w:rPr>
          <w:b/>
          <w:sz w:val="22"/>
        </w:rPr>
        <w:t>Why.</w:t>
      </w:r>
      <w:r>
        <w:rPr>
          <w:sz w:val="22"/>
        </w:rPr>
        <w:t xml:space="preserve"> Documents the anti-fabrication discipline so the reference base is trustworthy on import.</w:t>
      </w:r>
    </w:p>
    <w:p>
      <w:r>
        <w:br w:type="page"/>
      </w:r>
    </w:p>
    <w:p>
      <w:pPr>
        <w:pStyle w:val="Title"/>
      </w:pPr>
      <w:r>
        <w:t>References (verified, with DOIs &amp; links)</w:t>
      </w:r>
    </w:p>
    <w:p>
      <w:r>
        <w:rPr>
          <w:i/>
          <w:sz w:val="19"/>
        </w:rPr>
        <w:t>69 of 72 references carry a resolvable DOI (resolved via NCBI E-utilities); the rest link to their canonical source. Preprints are flagged to upgrade to journal versions before submission. Spot-check every DOI on import.</w:t>
      </w:r>
    </w:p>
    <w:p>
      <w:pPr>
        <w:pStyle w:val="Title"/>
      </w:pPr>
      <w:r>
        <w:t>Seed references - "Where a diverse national cohort should go next: a data-driven refresh of the All of Us scientific roadmap"</w:t>
      </w:r>
    </w:p>
    <w:p>
      <w:r>
        <w:rPr>
          <w:sz w:val="22"/>
        </w:rPr>
        <w:t xml:space="preserve">Narrative / data-driven perspective · for the 2026 </w:t>
      </w:r>
      <w:r>
        <w:rPr>
          <w:i/>
          <w:sz w:val="22"/>
        </w:rPr>
        <w:t>All of Us</w:t>
      </w:r>
      <w:r>
        <w:rPr>
          <w:sz w:val="22"/>
        </w:rPr>
        <w:t xml:space="preserve"> Science Committee and the biobank/informatics community.</w:t>
      </w:r>
    </w:p>
    <w:p>
      <w:r>
        <w:rPr>
          <w:sz w:val="22"/>
        </w:rPr>
        <w:t xml:space="preserve">This is a </w:t>
      </w:r>
      <w:r>
        <w:rPr>
          <w:b/>
          <w:sz w:val="22"/>
        </w:rPr>
        <w:t>seed</w:t>
      </w:r>
      <w:r>
        <w:rPr>
          <w:sz w:val="22"/>
        </w:rPr>
        <w:t xml:space="preserve"> reference list to anchor citation-gathering, organized to match</w:t>
      </w:r>
    </w:p>
    <w:p>
      <w:hyperlink r:id="rId49">
        <w:r>
          <w:rPr>
            <w:color w:val="1155CC"/>
            <w:u w:val="single"/>
          </w:rPr>
          <w:t xml:space="preserve">`outline.md`</w:t>
        </w:r>
      </w:hyperlink>
      <w:r>
        <w:rPr>
          <w:sz w:val="22"/>
        </w:rPr>
        <w:t xml:space="preserve">. </w:t>
      </w:r>
      <w:r>
        <w:rPr>
          <w:b/>
          <w:sz w:val="22"/>
        </w:rPr>
        <w:t>Every entry was verified against a real source</w:t>
      </w:r>
      <w:r>
        <w:rPr>
          <w:sz w:val="22"/>
        </w:rPr>
        <w:t xml:space="preserve"> (PubMed / PMC /</w:t>
      </w:r>
    </w:p>
    <w:p>
      <w:r>
        <w:rPr>
          <w:sz w:val="22"/>
        </w:rPr>
        <w:t>publisher / resolvable DOI - or arXiv/bioRxiv for CS work), with title + first author + year</w:t>
      </w:r>
    </w:p>
    <w:p>
      <w:r>
        <w:rPr>
          <w:sz w:val="22"/>
        </w:rPr>
        <w:t xml:space="preserve">confirmed; nothing was invented. </w:t>
      </w:r>
      <w:r>
        <w:rPr>
          <w:b/>
          <w:sz w:val="22"/>
        </w:rPr>
        <w:t>Spot-check before submission - see Caveats at the end.</w:t>
      </w:r>
    </w:p>
    <w:p>
      <w:pPr>
        <w:pStyle w:val="ListBullet"/>
      </w:pPr>
      <w:r>
        <w:rPr>
          <w:b/>
          <w:sz w:val="22"/>
        </w:rPr>
        <w:t>[Author-group]</w:t>
      </w:r>
      <w:r>
        <w:rPr>
          <w:sz w:val="22"/>
        </w:rPr>
        <w:t xml:space="preserve"> tags papers authored by M. Haendel or close collaborators (verified in the byline).</w:t>
      </w:r>
    </w:p>
    <w:p>
      <w:pPr>
        <w:pStyle w:val="ListBullet"/>
      </w:pPr>
      <w:r>
        <w:rPr>
          <w:sz w:val="22"/>
        </w:rPr>
        <w:t xml:space="preserve">Some papers serve more than one section; the primary listing is marked and re-uses noted </w:t>
      </w:r>
      <w:r>
        <w:rPr>
          <w:rFonts w:ascii="Consolas" w:hAnsi="Consolas"/>
          <w:sz w:val="21"/>
        </w:rPr>
        <w:t>**</w:t>
      </w:r>
      <w:r>
        <w:rPr>
          <w:sz w:val="22"/>
        </w:rPr>
        <w:t>.</w:t>
      </w:r>
    </w:p>
    <w:p>
      <w:pPr>
        <w:pStyle w:val="ListBullet"/>
      </w:pPr>
      <w:r>
        <w:rPr>
          <w:rFonts w:ascii="Consolas" w:hAnsi="Consolas"/>
          <w:sz w:val="21"/>
        </w:rPr>
        <w:t>[preprint]</w:t>
      </w:r>
      <w:r>
        <w:rPr>
          <w:sz w:val="22"/>
        </w:rPr>
        <w:t xml:space="preserve"> marks non-peer-reviewed sources.</w:t>
      </w:r>
    </w:p>
    <w:p>
      <w:pPr>
        <w:pStyle w:val="Heading1"/>
      </w:pPr>
      <w:r>
        <w:t>Anchor seeds (author's prior work)</w:t>
      </w:r>
    </w:p>
    <w:p>
      <w:pPr>
        <w:pStyle w:val="ListBullet"/>
      </w:pPr>
      <w:hyperlink r:id="rId36">
        <w:r>
          <w:rPr>
            <w:color w:val="1155CC"/>
            <w:u w:val="single"/>
          </w:rPr>
          <w:t xml:space="preserve">Haendel et al. The National COVID Cohort Collaborative (N3C). JAMIA 2021</w:t>
        </w:r>
      </w:hyperlink>
      <w:r>
        <w:rPr>
          <w:sz w:val="22"/>
        </w:rPr>
        <w:t xml:space="preserve"> - Haendel first author; a secure, governed multi-site clinical-data enclave - the data-commons/governance anchor for. </w:t>
      </w:r>
      <w:r>
        <w:rPr>
          <w:b/>
          <w:sz w:val="22"/>
        </w:rPr>
        <w:t>[Author-group]</w:t>
      </w:r>
      <w:r>
        <w:rPr>
          <w:sz w:val="22"/>
        </w:rPr>
        <w:t xml:space="preserve"> **</w:t>
      </w:r>
    </w:p>
    <w:p>
      <w:pPr>
        <w:pStyle w:val="ListBullet"/>
      </w:pPr>
      <w:hyperlink r:id="rId50">
        <w:r>
          <w:rPr>
            <w:color w:val="1155CC"/>
            <w:u w:val="single"/>
          </w:rPr>
          <w:t xml:space="preserve">Shefchek et al. The Monarch Initiative in 2019. Nucleic Acids Research 2020</w:t>
        </w:r>
      </w:hyperlink>
      <w:r>
        <w:rPr>
          <w:sz w:val="22"/>
        </w:rPr>
        <w:t xml:space="preserve"> - Haendel senior author; cross-species integrative phenotype–genotype platform and ontologies. </w:t>
      </w:r>
      <w:r>
        <w:rPr>
          <w:b/>
          <w:sz w:val="22"/>
        </w:rPr>
        <w:t>[Author-group]</w:t>
      </w:r>
    </w:p>
    <w:p>
      <w:pPr>
        <w:pStyle w:val="ListBullet"/>
      </w:pPr>
      <w:hyperlink r:id="rId48">
        <w:r>
          <w:rPr>
            <w:color w:val="1155CC"/>
            <w:u w:val="single"/>
          </w:rPr>
          <w:t xml:space="preserve">Putman et al. The Monarch Initiative in 2024. Nucleic Acids Research 2024</w:t>
        </w:r>
      </w:hyperlink>
      <w:r>
        <w:rPr>
          <w:sz w:val="22"/>
        </w:rPr>
        <w:t xml:space="preserve"> - Haendel senior author; current Monarch knowledge-graph release. </w:t>
      </w:r>
      <w:r>
        <w:rPr>
          <w:b/>
          <w:sz w:val="22"/>
        </w:rPr>
        <w:t>[Author-group]</w:t>
      </w:r>
    </w:p>
    <w:p>
      <w:pPr>
        <w:pStyle w:val="ListBullet"/>
      </w:pPr>
      <w:hyperlink r:id="rId51">
        <w:r>
          <w:rPr>
            <w:color w:val="1155CC"/>
            <w:u w:val="single"/>
          </w:rPr>
          <w:t xml:space="preserve">Köhler et al. The Human Phenotype Ontology in 2021. Nucleic Acids Research 2021</w:t>
        </w:r>
      </w:hyperlink>
      <w:r>
        <w:rPr>
          <w:sz w:val="22"/>
        </w:rPr>
        <w:t xml:space="preserve"> - Haendel verified in the byline; standard vocabulary for computable deep phenotyping. </w:t>
      </w:r>
      <w:r>
        <w:rPr>
          <w:b/>
          <w:sz w:val="22"/>
        </w:rPr>
        <w:t>[Author-group]</w:t>
      </w:r>
    </w:p>
    <w:p>
      <w:pPr>
        <w:pStyle w:val="ListBullet"/>
      </w:pPr>
      <w:hyperlink r:id="rId52">
        <w:r>
          <w:rPr>
            <w:color w:val="1155CC"/>
            <w:u w:val="single"/>
          </w:rPr>
          <w:t xml:space="preserve">Jacobsen et al. The GA4GH Phenopacket schema. Nature Biotechnology 2022</w:t>
        </w:r>
      </w:hyperlink>
      <w:r>
        <w:rPr>
          <w:sz w:val="22"/>
        </w:rPr>
        <w:t xml:space="preserve"> - Haendel in byline; community standard for exchanging computable phenotypes (later ISO 4454). </w:t>
      </w:r>
      <w:r>
        <w:rPr>
          <w:b/>
          <w:sz w:val="22"/>
        </w:rPr>
        <w:t>[Author-group]</w:t>
      </w:r>
      <w:r>
        <w:rPr>
          <w:sz w:val="22"/>
        </w:rPr>
        <w:t xml:space="preserve"> **</w:t>
      </w:r>
    </w:p>
    <w:p>
      <w:pPr>
        <w:pStyle w:val="ListBullet"/>
      </w:pPr>
      <w:hyperlink r:id="rId53">
        <w:r>
          <w:rPr>
            <w:color w:val="1155CC"/>
            <w:u w:val="single"/>
          </w:rPr>
          <w:t xml:space="preserve">Vasilevsky et al. Mondo: integrating disease terminology across communities. Genetics 2025</w:t>
        </w:r>
      </w:hyperlink>
      <w:r>
        <w:rPr>
          <w:sz w:val="22"/>
        </w:rPr>
        <w:t xml:space="preserve"> - Haendel senior author; unified computable disease-classification ontology. </w:t>
      </w:r>
      <w:r>
        <w:rPr>
          <w:b/>
          <w:sz w:val="22"/>
        </w:rPr>
        <w:t>[Author-group]</w:t>
      </w:r>
    </w:p>
    <w:p>
      <w:pPr>
        <w:pStyle w:val="Heading1"/>
      </w:pPr>
      <w:r>
        <w:t>1. Introduction - why refresh the roadmap now</w:t>
      </w:r>
    </w:p>
    <w:p>
      <w:pPr>
        <w:pStyle w:val="ListBullet"/>
      </w:pPr>
      <w:hyperlink r:id="rId54">
        <w:r>
          <w:rPr>
            <w:color w:val="1155CC"/>
            <w:u w:val="single"/>
          </w:rPr>
          <w:t xml:space="preserve">Collins &amp; Varmus. A New Initiative on Precision Medicine. N Engl J Med 2015</w:t>
        </w:r>
      </w:hyperlink>
      <w:r>
        <w:rPr>
          <w:sz w:val="22"/>
        </w:rPr>
        <w:t xml:space="preserve"> - the Precision Medicine Initiative's founding Perspective; frames the national cohort that became All of Us.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9">
        <w:r>
          <w:rPr>
            <w:color w:val="1155CC"/>
            <w:u w:val="single"/>
          </w:rPr>
          <w:t xml:space="preserve">10.1056/NEJMp1500523</w:t>
        </w:r>
      </w:hyperlink>
    </w:p>
    <w:p>
      <w:pPr>
        <w:pStyle w:val="ListBullet"/>
      </w:pPr>
      <w:hyperlink r:id="rId10">
        <w:r>
          <w:rPr>
            <w:color w:val="1155CC"/>
            <w:u w:val="single"/>
          </w:rPr>
          <w:t xml:space="preserve">Precision Medicine Initiative Working Group. The PMI Cohort Program - Building a Research Foundation for 21st Century Medicine. NIH 2015</w:t>
        </w:r>
      </w:hyperlink>
      <w:r>
        <w:rPr>
          <w:sz w:val="22"/>
        </w:rPr>
        <w:t xml:space="preserve"> - the blueprint report recommending a 1M+ cohort; the design document behind All of Us. </w:t>
      </w:r>
      <w:r>
        <w:rPr>
          <w:i/>
          <w:sz w:val="22"/>
        </w:rPr>
        <w:t>(gray literature)</w:t>
      </w:r>
    </w:p>
    <w:p>
      <w:pPr>
        <w:pStyle w:val="ListBullet"/>
      </w:pPr>
      <w:hyperlink r:id="rId55">
        <w:r>
          <w:rPr>
            <w:color w:val="1155CC"/>
            <w:u w:val="single"/>
          </w:rPr>
          <w:t xml:space="preserve">All of Us Research Program Investigators. The All of Us Research Program. N Engl J Med 2019</w:t>
        </w:r>
      </w:hyperlink>
      <w:r>
        <w:rPr>
          <w:sz w:val="22"/>
        </w:rPr>
        <w:t xml:space="preserve"> - the canonical program description: goals, protocol, data types, &gt;80% underrepresented enrollment. </w:t>
      </w:r>
      <w:r>
        <w:rPr>
          <w:i/>
          <w:sz w:val="22"/>
        </w:rPr>
        <w:t>(also cited for benchmarking rationale and platform)</w:t>
      </w:r>
      <w:r>
        <w:rPr>
          <w:sz w:val="22"/>
        </w:rPr>
        <w:t xml:space="preserve">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11">
        <w:r>
          <w:rPr>
            <w:color w:val="1155CC"/>
            <w:u w:val="single"/>
          </w:rPr>
          <w:t xml:space="preserve">10.1056/NEJMsr1809937</w:t>
        </w:r>
      </w:hyperlink>
    </w:p>
    <w:p>
      <w:pPr>
        <w:pStyle w:val="ListBullet"/>
      </w:pPr>
      <w:hyperlink r:id="rId56">
        <w:r>
          <w:rPr>
            <w:color w:val="1155CC"/>
            <w:u w:val="single"/>
          </w:rPr>
          <w:t xml:space="preserve">Mapes et al. Diversity and Inclusion for the All of Us Research Program: A Scoping Review. PLoS ONE 2020</w:t>
        </w:r>
      </w:hyperlink>
      <w:r>
        <w:rPr>
          <w:sz w:val="22"/>
        </w:rPr>
        <w:t xml:space="preserve"> - defines/justifies the UBR (underrepresented in biomedical research) mandate.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12">
        <w:r>
          <w:rPr>
            <w:color w:val="1155CC"/>
            <w:u w:val="single"/>
          </w:rPr>
          <w:t xml:space="preserve">10.1371/journal.pone.0234962</w:t>
        </w:r>
      </w:hyperlink>
    </w:p>
    <w:p>
      <w:pPr>
        <w:pStyle w:val="ListBullet"/>
      </w:pPr>
      <w:hyperlink r:id="rId13">
        <w:r>
          <w:rPr>
            <w:color w:val="1155CC"/>
            <w:u w:val="single"/>
          </w:rPr>
          <w:t xml:space="preserve">Denny &amp; Collins. Precision Medicine in 2030 - Seven Ways to Transform Healthcare. Cell 2021</w:t>
        </w:r>
      </w:hyperlink>
      <w:r>
        <w:rPr>
          <w:sz w:val="22"/>
        </w:rPr>
        <w:t xml:space="preserve"> - forward-looking precision-medicine roadmap (cohorts, AI, phenomics, equity) from the AoU CEO and NIH Director.</w:t>
      </w:r>
    </w:p>
    <w:p>
      <w:pPr>
        <w:pStyle w:val="Heading1"/>
      </w:pPr>
      <w:r>
        <w:t>2. The All of Us research landscape</w:t>
      </w:r>
    </w:p>
    <w:p>
      <w:pPr>
        <w:pStyle w:val="ListBullet"/>
      </w:pPr>
      <w:hyperlink r:id="rId57">
        <w:r>
          <w:rPr>
            <w:color w:val="1155CC"/>
            <w:u w:val="single"/>
          </w:rPr>
          <w:t xml:space="preserve">All of Us Research Program Genomics Investigators. Genomic Data in the All of Us Research Program. Nature 2024</w:t>
        </w:r>
      </w:hyperlink>
      <w:r>
        <w:rPr>
          <w:sz w:val="22"/>
        </w:rPr>
        <w:t xml:space="preserve"> - flagship genomics release (245,388 genomes, &gt;1B variants); anchors the genomic resource.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16">
        <w:r>
          <w:rPr>
            <w:color w:val="1155CC"/>
            <w:u w:val="single"/>
          </w:rPr>
          <w:t xml:space="preserve">10.1038/s41586-023-06957-x</w:t>
        </w:r>
      </w:hyperlink>
    </w:p>
    <w:p>
      <w:pPr>
        <w:pStyle w:val="ListBullet"/>
      </w:pPr>
      <w:hyperlink r:id="rId58">
        <w:r>
          <w:rPr>
            <w:color w:val="1155CC"/>
            <w:u w:val="single"/>
          </w:rPr>
          <w:t xml:space="preserve">Ramirez et al. The All of Us Research Program: Data Quality, Utility, and Diversity. Patterns 2022</w:t>
        </w:r>
      </w:hyperlink>
      <w:r>
        <w:rPr>
          <w:sz w:val="22"/>
        </w:rPr>
        <w:t xml:space="preserve"> - characterizes the data release (EHR, surveys, measurements) and the Researcher Workbench. </w:t>
      </w:r>
      <w:r>
        <w:rPr>
          <w:b/>
          <w:sz w:val="22"/>
        </w:rPr>
        <w:t xml:space="preserve"> · </w:t>
      </w:r>
      <w:r>
        <w:rPr>
          <w:sz w:val="22"/>
        </w:rPr>
        <w:t xml:space="preserve">DOI:** </w:t>
      </w:r>
      <w:hyperlink r:id="rId17">
        <w:r>
          <w:rPr>
            <w:color w:val="1155CC"/>
            <w:u w:val="single"/>
          </w:rPr>
          <w:t xml:space="preserve">10.1016/j.patter.2022.100570</w:t>
        </w:r>
      </w:hyperlink>
    </w:p>
    <w:p>
      <w:pPr>
        <w:pStyle w:val="ListBullet"/>
      </w:pPr>
      <w:hyperlink r:id="rId18">
        <w:r>
          <w:rPr>
            <w:color w:val="1155CC"/>
            <w:u w:val="single"/>
          </w:rPr>
          <w:t xml:space="preserve">Lederer et al. Data Quality Control in Using Fitbit Device Data From the All of Us Research Program. JMIR Mhealth Uhealth 2023</w:t>
        </w:r>
      </w:hyperlink>
      <w:r>
        <w:rPr>
          <w:sz w:val="22"/>
        </w:rPr>
        <w:t xml:space="preserve"> - the AoU Fitbit/wearables resource and its QC; supports the wearables data asset.</w:t>
      </w:r>
    </w:p>
    <w:p>
      <w:pPr>
        <w:pStyle w:val="ListBullet"/>
      </w:pPr>
      <w:hyperlink r:id="rId59">
        <w:r>
          <w:rPr>
            <w:color w:val="1155CC"/>
            <w:u w:val="single"/>
          </w:rPr>
          <w:t xml:space="preserve">Overhage et al. Validation of a Common Data Model for Active Safety Surveillance Research. JAMIA 2012</w:t>
        </w:r>
      </w:hyperlink>
      <w:r>
        <w:rPr>
          <w:sz w:val="22"/>
        </w:rPr>
        <w:t xml:space="preserve"> - foundational validation of the OMOP CDM. </w:t>
      </w:r>
      <w:r>
        <w:rPr>
          <w:b/>
          <w:sz w:val="22"/>
        </w:rPr>
        <w:t xml:space="preserve"> · </w:t>
      </w:r>
      <w:r>
        <w:rPr>
          <w:sz w:val="22"/>
        </w:rPr>
        <w:t xml:space="preserve">DOI:** </w:t>
      </w:r>
      <w:hyperlink r:id="rId14">
        <w:r>
          <w:rPr>
            <w:color w:val="1155CC"/>
            <w:u w:val="single"/>
          </w:rPr>
          <w:t xml:space="preserve">10.1136/amiajnl-2011-000376</w:t>
        </w:r>
      </w:hyperlink>
    </w:p>
    <w:p>
      <w:pPr>
        <w:pStyle w:val="ListBullet"/>
      </w:pPr>
      <w:hyperlink r:id="rId60">
        <w:r>
          <w:rPr>
            <w:color w:val="1155CC"/>
            <w:u w:val="single"/>
          </w:rPr>
          <w:t xml:space="preserve">Hripcsak et al. OHDSI: Opportunities for Observational Researchers. Stud Health Technol Inform 2015</w:t>
        </w:r>
      </w:hyperlink>
      <w:r>
        <w:rPr>
          <w:sz w:val="22"/>
        </w:rPr>
        <w:t xml:space="preserve"> - the OHDSI community/tooling on the OMOP CDM that AoU data are modeled in.</w:t>
      </w:r>
    </w:p>
    <w:p>
      <w:pPr>
        <w:pStyle w:val="ListBullet"/>
      </w:pPr>
      <w:hyperlink r:id="rId61">
        <w:r>
          <w:rPr>
            <w:color w:val="1155CC"/>
            <w:u w:val="single"/>
          </w:rPr>
          <w:t xml:space="preserve">Denny et al. PheWAS: Feasibility of a Phenome-Wide Scan to Discover Gene–Disease Associations. Bioinformatics 2010</w:t>
        </w:r>
      </w:hyperlink>
      <w:r>
        <w:rPr>
          <w:sz w:val="22"/>
        </w:rPr>
        <w:t xml:space="preserve"> - the original phenome-wide association method on EHR-derived phenotypes.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15">
        <w:r>
          <w:rPr>
            <w:color w:val="1155CC"/>
            <w:u w:val="single"/>
          </w:rPr>
          <w:t xml:space="preserve">10.1093/bioinformatics/btq126</w:t>
        </w:r>
      </w:hyperlink>
    </w:p>
    <w:p>
      <w:pPr>
        <w:pStyle w:val="ListBullet"/>
      </w:pPr>
      <w:hyperlink r:id="rId62">
        <w:r>
          <w:rPr>
            <w:color w:val="1155CC"/>
            <w:u w:val="single"/>
          </w:rPr>
          <w:t xml:space="preserve">Denny et al. Systematic Comparison of Phenome-Wide Association Study of EMR Data and GWAS Data. Nat Biotechnol 2013</w:t>
        </w:r>
      </w:hyperlink>
      <w:r>
        <w:rPr>
          <w:sz w:val="22"/>
        </w:rPr>
        <w:t xml:space="preserve"> - first large-scale PheWAS in EMRs.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63">
        <w:r>
          <w:rPr>
            <w:color w:val="1155CC"/>
            <w:u w:val="single"/>
          </w:rPr>
          <w:t xml:space="preserve">10.1038/nbt.2749</w:t>
        </w:r>
      </w:hyperlink>
    </w:p>
    <w:p>
      <w:pPr>
        <w:pStyle w:val="ListBullet"/>
      </w:pPr>
      <w:hyperlink r:id="rId64">
        <w:r>
          <w:rPr>
            <w:color w:val="1155CC"/>
            <w:u w:val="single"/>
          </w:rPr>
          <w:t xml:space="preserve">Kohane. Using Electronic Health Records to Drive Discovery in Disease Genomics. Nat Rev Genet 2011</w:t>
        </w:r>
      </w:hyperlink>
      <w:r>
        <w:rPr>
          <w:sz w:val="22"/>
        </w:rPr>
        <w:t xml:space="preserve"> - foundational review on repurposing EHR for genomic discovery.</w:t>
      </w:r>
    </w:p>
    <w:p>
      <w:pPr>
        <w:pStyle w:val="ListBullet"/>
      </w:pPr>
      <w:hyperlink r:id="rId65">
        <w:r>
          <w:rPr>
            <w:color w:val="1155CC"/>
            <w:u w:val="single"/>
          </w:rPr>
          <w:t xml:space="preserve">Wei &amp; Denny. Extracting Research-Quality Phenotypes from EHRs to Support Precision Medicine. Genome Med 2015</w:t>
        </w:r>
      </w:hyperlink>
      <w:r>
        <w:rPr>
          <w:sz w:val="22"/>
        </w:rPr>
        <w:t xml:space="preserve"> - EHR phenotyping methods underpinning phenome-wide research.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66">
        <w:r>
          <w:rPr>
            <w:color w:val="1155CC"/>
            <w:u w:val="single"/>
          </w:rPr>
          <w:t xml:space="preserve">10.1186/s13073-015-0166-y</w:t>
        </w:r>
      </w:hyperlink>
    </w:p>
    <w:p>
      <w:pPr>
        <w:pStyle w:val="ListBullet"/>
      </w:pPr>
      <w:hyperlink r:id="rId67">
        <w:r>
          <w:rPr>
            <w:color w:val="1155CC"/>
            <w:u w:val="single"/>
          </w:rPr>
          <w:t xml:space="preserve">van Eck &amp; Waltman. VOSviewer, a Computer Program for Bibliometric Mapping. Scientometrics 2010</w:t>
        </w:r>
      </w:hyperlink>
      <w:r>
        <w:rPr>
          <w:sz w:val="22"/>
        </w:rPr>
        <w:t xml:space="preserve"> - standard tool for bibliometric/co-citation mapping (corpus method).</w:t>
      </w:r>
    </w:p>
    <w:p>
      <w:pPr>
        <w:pStyle w:val="ListBullet"/>
      </w:pPr>
      <w:hyperlink r:id="rId68">
        <w:r>
          <w:rPr>
            <w:color w:val="1155CC"/>
            <w:u w:val="single"/>
          </w:rPr>
          <w:t xml:space="preserve">Boyack &amp; Klavans. Co-Citation, Bibliographic Coupling, and Direct Citation. JASIST 2010</w:t>
        </w:r>
      </w:hyperlink>
      <w:r>
        <w:rPr>
          <w:sz w:val="22"/>
        </w:rPr>
        <w:t xml:space="preserve"> - methodological benchmark for citation-based corpus mapping.</w:t>
      </w:r>
    </w:p>
    <w:p>
      <w:pPr>
        <w:pStyle w:val="ListBullet"/>
      </w:pPr>
      <w:hyperlink r:id="rId69">
        <w:r>
          <w:rPr>
            <w:color w:val="1155CC"/>
            <w:u w:val="single"/>
          </w:rPr>
          <w:t xml:space="preserve">Blei, Ng &amp; Jordan. Latent Dirichlet Allocation. J Mach Learn Res 2003</w:t>
        </w:r>
      </w:hyperlink>
      <w:r>
        <w:rPr>
          <w:sz w:val="22"/>
        </w:rPr>
        <w:t xml:space="preserve"> - canonical topic-modeling method for thematic corpus analysis.</w:t>
      </w:r>
    </w:p>
    <w:p>
      <w:pPr>
        <w:pStyle w:val="Heading1"/>
      </w:pPr>
      <w:r>
        <w:t>3. Benchmarking against peer biobanks</w:t>
      </w:r>
    </w:p>
    <w:p>
      <w:pPr>
        <w:pStyle w:val="Heading2"/>
      </w:pPr>
      <w:r>
        <w:t>3.1 The comparator set</w:t>
      </w:r>
    </w:p>
    <w:p>
      <w:pPr>
        <w:pStyle w:val="ListBullet"/>
      </w:pPr>
      <w:hyperlink r:id="rId70">
        <w:r>
          <w:rPr>
            <w:color w:val="1155CC"/>
            <w:u w:val="single"/>
          </w:rPr>
          <w:t xml:space="preserve">Sudlow et al. UK Biobank: an open access resource. PLoS Medicine 2015</w:t>
        </w:r>
      </w:hyperlink>
      <w:r>
        <w:rPr>
          <w:sz w:val="22"/>
        </w:rPr>
        <w:t xml:space="preserve"> - canonical UK Biobank cohort profile (500k, open-access); the primary comparator.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21">
        <w:r>
          <w:rPr>
            <w:color w:val="1155CC"/>
            <w:u w:val="single"/>
          </w:rPr>
          <w:t xml:space="preserve">10.1371/journal.pmed.1001779</w:t>
        </w:r>
      </w:hyperlink>
    </w:p>
    <w:p>
      <w:pPr>
        <w:pStyle w:val="ListBullet"/>
      </w:pPr>
      <w:hyperlink r:id="rId71">
        <w:r>
          <w:rPr>
            <w:color w:val="1155CC"/>
            <w:u w:val="single"/>
          </w:rPr>
          <w:t xml:space="preserve">Bycroft et al. The UK Biobank resource with deep phenotyping and genomic data. Nature 2018</w:t>
        </w:r>
      </w:hyperlink>
      <w:r>
        <w:rPr>
          <w:sz w:val="22"/>
        </w:rPr>
        <w:t xml:space="preserve"> - genotyping, imputation (~96M variants), QC; template for genomics-at-scale.</w:t>
      </w:r>
    </w:p>
    <w:p>
      <w:pPr>
        <w:pStyle w:val="ListBullet"/>
      </w:pPr>
      <w:hyperlink r:id="rId72">
        <w:r>
          <w:rPr>
            <w:color w:val="1155CC"/>
            <w:u w:val="single"/>
          </w:rPr>
          <w:t xml:space="preserve">Gaziano et al. Million Veteran Program: a mega-biobank. J Clin Epidemiol 2016</w:t>
        </w:r>
      </w:hyperlink>
      <w:r>
        <w:rPr>
          <w:sz w:val="22"/>
        </w:rPr>
        <w:t xml:space="preserve"> - VA MVP design; an EHR-linked health-system biobank comparator.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22">
        <w:r>
          <w:rPr>
            <w:color w:val="1155CC"/>
            <w:u w:val="single"/>
          </w:rPr>
          <w:t xml:space="preserve">10.1016/j.jclinepi.2015.09.016</w:t>
        </w:r>
      </w:hyperlink>
    </w:p>
    <w:p>
      <w:pPr>
        <w:pStyle w:val="ListBullet"/>
      </w:pPr>
      <w:hyperlink r:id="rId73">
        <w:r>
          <w:rPr>
            <w:color w:val="1155CC"/>
            <w:u w:val="single"/>
          </w:rPr>
          <w:t xml:space="preserve">Kurki et al. FinnGen: genetic insights from a well-phenotyped isolated population. Nature 2023</w:t>
        </w:r>
      </w:hyperlink>
      <w:r>
        <w:rPr>
          <w:sz w:val="22"/>
        </w:rPr>
        <w:t xml:space="preserve"> - ~429k samples linked to national registers; the founder-population comparator.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23">
        <w:r>
          <w:rPr>
            <w:color w:val="1155CC"/>
            <w:u w:val="single"/>
          </w:rPr>
          <w:t xml:space="preserve">10.1038/s41586-022-05473-8</w:t>
        </w:r>
      </w:hyperlink>
    </w:p>
    <w:p>
      <w:pPr>
        <w:pStyle w:val="ListBullet"/>
      </w:pPr>
      <w:hyperlink r:id="rId74">
        <w:r>
          <w:rPr>
            <w:color w:val="1155CC"/>
            <w:u w:val="single"/>
          </w:rPr>
          <w:t xml:space="preserve">Chen et al. China Kadoorie Biobank of 0.5 million people. Int J Epidemiol 2011</w:t>
        </w:r>
      </w:hyperlink>
      <w:r>
        <w:rPr>
          <w:sz w:val="22"/>
        </w:rPr>
        <w:t xml:space="preserve"> - CKB cohort profile; the large non-Western comparator.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24">
        <w:r>
          <w:rPr>
            <w:color w:val="1155CC"/>
            <w:u w:val="single"/>
          </w:rPr>
          <w:t xml:space="preserve">10.1093/ije/dyr120</w:t>
        </w:r>
      </w:hyperlink>
    </w:p>
    <w:p>
      <w:pPr>
        <w:pStyle w:val="Heading2"/>
      </w:pPr>
      <w:r>
        <w:t>3.2 Distinctive strengths &amp; discovery at scale</w:t>
      </w:r>
    </w:p>
    <w:p>
      <w:pPr>
        <w:pStyle w:val="ListBullet"/>
      </w:pPr>
      <w:hyperlink r:id="rId75">
        <w:r>
          <w:rPr>
            <w:color w:val="1155CC"/>
            <w:u w:val="single"/>
          </w:rPr>
          <w:t xml:space="preserve">Backman et al. Exome sequencing of 454,787 UK Biobank participants. Nature 2021</w:t>
        </w:r>
      </w:hyperlink>
      <w:r>
        <w:rPr>
          <w:sz w:val="22"/>
        </w:rPr>
        <w:t xml:space="preserve"> - landmark biobank-scale exome resource.</w:t>
      </w:r>
    </w:p>
    <w:p>
      <w:pPr>
        <w:pStyle w:val="ListBullet"/>
      </w:pPr>
      <w:hyperlink r:id="rId76">
        <w:r>
          <w:rPr>
            <w:color w:val="1155CC"/>
            <w:u w:val="single"/>
          </w:rPr>
          <w:t xml:space="preserve">Halldorsson et al. The sequences of 150,119 genomes in the UK Biobank. Nature 2022</w:t>
        </w:r>
      </w:hyperlink>
      <w:r>
        <w:rPr>
          <w:sz w:val="22"/>
        </w:rPr>
        <w:t xml:space="preserve"> - biobank-scale WGS; benchmark for the WGS resource AoU also delivers.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77">
        <w:r>
          <w:rPr>
            <w:color w:val="1155CC"/>
            <w:u w:val="single"/>
          </w:rPr>
          <w:t xml:space="preserve">10.1038/s41586-022-04965-x</w:t>
        </w:r>
      </w:hyperlink>
    </w:p>
    <w:p>
      <w:pPr>
        <w:pStyle w:val="ListBullet"/>
      </w:pPr>
      <w:hyperlink r:id="rId78">
        <w:r>
          <w:rPr>
            <w:color w:val="1155CC"/>
            <w:u w:val="single"/>
          </w:rPr>
          <w:t xml:space="preserve">Verma et al. Diversity and scale: genetic architecture of 2,068 traits in the MVP. Science 2024</w:t>
        </w:r>
      </w:hyperlink>
      <w:r>
        <w:rPr>
          <w:sz w:val="22"/>
        </w:rPr>
        <w:t xml:space="preserve"> - multi-ancestry GWAS atlas (635,969); the discovery case for diverse biobanks.</w:t>
      </w:r>
    </w:p>
    <w:p>
      <w:pPr>
        <w:pStyle w:val="ListBullet"/>
      </w:pPr>
      <w:hyperlink r:id="rId79">
        <w:r>
          <w:rPr>
            <w:color w:val="1155CC"/>
            <w:u w:val="single"/>
          </w:rPr>
          <w:t xml:space="preserve">Wojcik et al. Genetic analyses of diverse populations improves discovery for complex traits. Nature 2019</w:t>
        </w:r>
      </w:hyperlink>
      <w:r>
        <w:rPr>
          <w:sz w:val="22"/>
        </w:rPr>
        <w:t xml:space="preserve"> - PAGE study; diverse samples surface variants missed in European-only studies.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80">
        <w:r>
          <w:rPr>
            <w:color w:val="1155CC"/>
            <w:u w:val="single"/>
          </w:rPr>
          <w:t xml:space="preserve">10.1038/s41586-019-1310-4</w:t>
        </w:r>
      </w:hyperlink>
    </w:p>
    <w:p>
      <w:pPr>
        <w:pStyle w:val="ListBullet"/>
      </w:pPr>
      <w:hyperlink r:id="rId81">
        <w:r>
          <w:rPr>
            <w:color w:val="1155CC"/>
            <w:u w:val="single"/>
          </w:rPr>
          <w:t xml:space="preserve">Zhou et al. Global Biobank Meta-analysis Initiative. Cell Genomics 2022</w:t>
        </w:r>
      </w:hyperlink>
      <w:r>
        <w:rPr>
          <w:sz w:val="22"/>
        </w:rPr>
        <w:t xml:space="preserve"> - cross-biobank harmonization/comparison framework (23 biobanks).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82">
        <w:r>
          <w:rPr>
            <w:color w:val="1155CC"/>
            <w:u w:val="single"/>
          </w:rPr>
          <w:t xml:space="preserve">10.1016/j.xgen.2022.100192</w:t>
        </w:r>
      </w:hyperlink>
    </w:p>
    <w:p>
      <w:pPr>
        <w:pStyle w:val="Heading2"/>
      </w:pPr>
      <w:r>
        <w:t>3.3 Gaps, diversity &amp; representativeness</w:t>
      </w:r>
    </w:p>
    <w:p>
      <w:pPr>
        <w:pStyle w:val="ListBullet"/>
      </w:pPr>
      <w:hyperlink r:id="rId83">
        <w:r>
          <w:rPr>
            <w:color w:val="1155CC"/>
            <w:u w:val="single"/>
          </w:rPr>
          <w:t xml:space="preserve">Sirugo et al. The Missing Diversity in Human Genetic Studies. Cell 2019</w:t>
        </w:r>
      </w:hyperlink>
      <w:r>
        <w:rPr>
          <w:sz w:val="22"/>
        </w:rPr>
        <w:t xml:space="preserve"> - the ancestry-imbalance statement (~78% of GWAS participants European) and its costs.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25">
        <w:r>
          <w:rPr>
            <w:color w:val="1155CC"/>
            <w:u w:val="single"/>
          </w:rPr>
          <w:t xml:space="preserve">10.1016/j.cell.2019.02.048</w:t>
        </w:r>
      </w:hyperlink>
    </w:p>
    <w:p>
      <w:pPr>
        <w:pStyle w:val="ListBullet"/>
      </w:pPr>
      <w:hyperlink r:id="rId26">
        <w:r>
          <w:rPr>
            <w:color w:val="1155CC"/>
            <w:u w:val="single"/>
          </w:rPr>
          <w:t xml:space="preserve">Martin et al. Clinical use of current polygenic risk scores may exacerbate health disparities. Nat Genet 2019</w:t>
        </w:r>
      </w:hyperlink>
      <w:r>
        <w:rPr>
          <w:sz w:val="22"/>
        </w:rPr>
        <w:t xml:space="preserve"> - PRS far more accurate in European-ancestry individuals; the equity argument for AoU.</w:t>
      </w:r>
    </w:p>
    <w:p>
      <w:pPr>
        <w:pStyle w:val="ListBullet"/>
      </w:pPr>
      <w:hyperlink r:id="rId84">
        <w:r>
          <w:rPr>
            <w:color w:val="1155CC"/>
            <w:u w:val="single"/>
          </w:rPr>
          <w:t xml:space="preserve">Popejoy &amp; Fullerton. Genomics is failing on diversity. Nature 2016</w:t>
        </w:r>
      </w:hyperlink>
      <w:r>
        <w:rPr>
          <w:sz w:val="22"/>
        </w:rPr>
        <w:t xml:space="preserve"> - early audit of non-European underrepresentation; frames the gap AoU set out to close.</w:t>
      </w:r>
    </w:p>
    <w:p>
      <w:pPr>
        <w:pStyle w:val="ListBullet"/>
      </w:pPr>
      <w:hyperlink r:id="rId85">
        <w:r>
          <w:rPr>
            <w:color w:val="1155CC"/>
            <w:u w:val="single"/>
          </w:rPr>
          <w:t xml:space="preserve">Fry et al. Comparison of UK Biobank participants with the general population. Am J Epidemiol 2017</w:t>
        </w:r>
      </w:hyperlink>
      <w:r>
        <w:rPr>
          <w:sz w:val="22"/>
        </w:rPr>
        <w:t xml:space="preserve"> - 5.5% response rate and healthy-volunteer bias; the representativeness caveat for mega-biobanks.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27">
        <w:r>
          <w:rPr>
            <w:color w:val="1155CC"/>
            <w:u w:val="single"/>
          </w:rPr>
          <w:t xml:space="preserve">10.1093/aje/kwx246</w:t>
        </w:r>
      </w:hyperlink>
    </w:p>
    <w:p>
      <w:pPr>
        <w:pStyle w:val="ListBullet"/>
      </w:pPr>
      <w:hyperlink r:id="rId86">
        <w:r>
          <w:rPr>
            <w:color w:val="1155CC"/>
            <w:u w:val="single"/>
          </w:rPr>
          <w:t xml:space="preserve">Mills &amp; Rahal. A scientometric review of genome-wide association studies. Commun Biol 2019</w:t>
        </w:r>
      </w:hyperlink>
      <w:r>
        <w:rPr>
          <w:sz w:val="22"/>
        </w:rPr>
        <w:t xml:space="preserve"> - GWAS bibliometrics showing persistent European dominance; the biobank-bibliometrics anchor.</w:t>
      </w:r>
    </w:p>
    <w:p>
      <w:pPr>
        <w:pStyle w:val="Heading2"/>
      </w:pPr>
      <w:r>
        <w:t>3.4 Interpretation</w:t>
      </w:r>
    </w:p>
    <w:p>
      <w:pPr>
        <w:pStyle w:val="ListBullet"/>
      </w:pPr>
      <w:r>
        <w:rPr>
          <w:i/>
          <w:sz w:val="22"/>
        </w:rPr>
        <w:t>AoU NEJM 2019</w:t>
      </w:r>
      <w:r>
        <w:rPr>
          <w:sz w:val="22"/>
        </w:rPr>
        <w:t xml:space="preserve"> - the diversity-first rationale that motivates benchmarking against the above.</w:t>
      </w:r>
    </w:p>
    <w:p>
      <w:pPr>
        <w:pStyle w:val="Heading1"/>
      </w:pPr>
      <w:r>
        <w:t>4. Emerging scientific frontiers and AoU white space</w:t>
      </w:r>
    </w:p>
    <w:p>
      <w:pPr>
        <w:pStyle w:val="Heading2"/>
      </w:pPr>
      <w:r>
        <w:t>4.1 AI foundation models in medicine (LLMs, clinical &amp; agentic AI)</w:t>
      </w:r>
    </w:p>
    <w:p>
      <w:pPr>
        <w:pStyle w:val="ListBullet"/>
      </w:pPr>
      <w:hyperlink r:id="rId87">
        <w:r>
          <w:rPr>
            <w:color w:val="1155CC"/>
            <w:u w:val="single"/>
          </w:rPr>
          <w:t xml:space="preserve">Moor et al. Foundation models for generalist medical AI. Nature 2023</w:t>
        </w:r>
      </w:hyperlink>
      <w:r>
        <w:rPr>
          <w:sz w:val="22"/>
        </w:rPr>
        <w:t xml:space="preserve"> - defines "generalist medical AI"; the conceptual anchor for the frontier.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28">
        <w:r>
          <w:rPr>
            <w:color w:val="1155CC"/>
            <w:u w:val="single"/>
          </w:rPr>
          <w:t xml:space="preserve">10.1038/s41586-023-05881-4</w:t>
        </w:r>
      </w:hyperlink>
    </w:p>
    <w:p>
      <w:pPr>
        <w:pStyle w:val="ListBullet"/>
      </w:pPr>
      <w:hyperlink r:id="rId88">
        <w:r>
          <w:rPr>
            <w:color w:val="1155CC"/>
            <w:u w:val="single"/>
          </w:rPr>
          <w:t xml:space="preserve">Singhal et al. Large language models encode clinical knowledge. Nature 2023</w:t>
        </w:r>
      </w:hyperlink>
      <w:r>
        <w:rPr>
          <w:sz w:val="22"/>
        </w:rPr>
        <w:t xml:space="preserve"> - Med-PaLM/MultiMedQA; LLMs reach near-expert medical QA with a safety-evaluation framework.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29">
        <w:r>
          <w:rPr>
            <w:color w:val="1155CC"/>
            <w:u w:val="single"/>
          </w:rPr>
          <w:t xml:space="preserve">10.1038/s41586-023-06291-2</w:t>
        </w:r>
      </w:hyperlink>
    </w:p>
    <w:p>
      <w:pPr>
        <w:pStyle w:val="ListBullet"/>
      </w:pPr>
      <w:hyperlink r:id="rId89">
        <w:r>
          <w:rPr>
            <w:color w:val="1155CC"/>
            <w:u w:val="single"/>
          </w:rPr>
          <w:t xml:space="preserve">Nori et al. Capabilities of GPT-4 on Medical Challenge Problems. arXiv 2023</w:t>
        </w:r>
      </w:hyperlink>
      <w:r>
        <w:rPr>
          <w:sz w:val="22"/>
        </w:rPr>
        <w:t xml:space="preserve"> </w:t>
      </w:r>
      <w:r>
        <w:rPr>
          <w:rFonts w:ascii="Consolas" w:hAnsi="Consolas"/>
          <w:sz w:val="21"/>
        </w:rPr>
        <w:t>[preprint]</w:t>
      </w:r>
      <w:r>
        <w:rPr>
          <w:sz w:val="22"/>
        </w:rPr>
        <w:t xml:space="preserve"> - general-purpose GPT-4 exceeds USMLE passing score without fine-tuning.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90">
        <w:r>
          <w:rPr>
            <w:color w:val="1155CC"/>
            <w:u w:val="single"/>
          </w:rPr>
          <w:t xml:space="preserve">10.48550/arXiv.2303.13375</w:t>
        </w:r>
      </w:hyperlink>
    </w:p>
    <w:p>
      <w:pPr>
        <w:pStyle w:val="ListBullet"/>
      </w:pPr>
      <w:hyperlink r:id="rId91">
        <w:r>
          <w:rPr>
            <w:color w:val="1155CC"/>
            <w:u w:val="single"/>
          </w:rPr>
          <w:t xml:space="preserve">Kung et al. Performance of ChatGPT on USMLE. PLOS Digit Health 2023</w:t>
        </w:r>
      </w:hyperlink>
      <w:r>
        <w:rPr>
          <w:sz w:val="22"/>
        </w:rPr>
        <w:t xml:space="preserve"> - early demonstration of LLM at USMLE threshold; catalyzed clinical-LLM interest.</w:t>
      </w:r>
    </w:p>
    <w:p>
      <w:pPr>
        <w:pStyle w:val="ListBullet"/>
      </w:pPr>
      <w:hyperlink r:id="rId92">
        <w:r>
          <w:rPr>
            <w:color w:val="1155CC"/>
            <w:u w:val="single"/>
          </w:rPr>
          <w:t xml:space="preserve">Tu et al. Towards conversational diagnostic artificial intelligence. Nature 2025</w:t>
        </w:r>
      </w:hyperlink>
      <w:r>
        <w:rPr>
          <w:sz w:val="22"/>
        </w:rPr>
        <w:t xml:space="preserve"> - AMIE diagnostic-dialogue agent; frontier of agentic clinical AI.</w:t>
      </w:r>
    </w:p>
    <w:p>
      <w:pPr>
        <w:pStyle w:val="ListBullet"/>
      </w:pPr>
      <w:hyperlink r:id="rId93">
        <w:r>
          <w:rPr>
            <w:color w:val="1155CC"/>
            <w:u w:val="single"/>
          </w:rPr>
          <w:t xml:space="preserve">Mehandru et al. Evaluating large language models as agents in the clinic. npj Digit Med 2024</w:t>
        </w:r>
      </w:hyperlink>
      <w:r>
        <w:rPr>
          <w:sz w:val="22"/>
        </w:rPr>
        <w:t xml:space="preserve"> - argues LLM agents be judged by workflow impact, not exam benchmarks.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94">
        <w:r>
          <w:rPr>
            <w:color w:val="1155CC"/>
            <w:u w:val="single"/>
          </w:rPr>
          <w:t xml:space="preserve">10.1038/s41746-024-01083-y</w:t>
        </w:r>
      </w:hyperlink>
    </w:p>
    <w:p>
      <w:pPr>
        <w:pStyle w:val="Heading2"/>
      </w:pPr>
      <w:r>
        <w:t>4.2 Genomic / DNA sequence foundation models</w:t>
      </w:r>
    </w:p>
    <w:p>
      <w:pPr>
        <w:pStyle w:val="ListBullet"/>
      </w:pPr>
      <w:hyperlink r:id="rId30">
        <w:r>
          <w:rPr>
            <w:color w:val="1155CC"/>
            <w:u w:val="single"/>
          </w:rPr>
          <w:t xml:space="preserve">Dalla-Torre et al. Nucleotide Transformer: robust foundation models for human genomics. Nat Methods 2025</w:t>
        </w:r>
      </w:hyperlink>
      <w:r>
        <w:rPr>
          <w:sz w:val="22"/>
        </w:rPr>
        <w:t xml:space="preserve"> - benchmark-setting DNA language models (50M–2.5B params).</w:t>
      </w:r>
    </w:p>
    <w:p>
      <w:pPr>
        <w:pStyle w:val="ListBullet"/>
      </w:pPr>
      <w:hyperlink r:id="rId95">
        <w:r>
          <w:rPr>
            <w:color w:val="1155CC"/>
            <w:u w:val="single"/>
          </w:rPr>
          <w:t xml:space="preserve">Ji et al. DNABERT. Bioinformatics 2021</w:t>
        </w:r>
      </w:hyperlink>
      <w:r>
        <w:rPr>
          <w:sz w:val="22"/>
        </w:rPr>
        <w:t xml:space="preserve"> - foundational transformer establishing DNA-as-language pretraining.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96">
        <w:r>
          <w:rPr>
            <w:color w:val="1155CC"/>
            <w:u w:val="single"/>
          </w:rPr>
          <w:t xml:space="preserve">10.1093/bioinformatics/btab083</w:t>
        </w:r>
      </w:hyperlink>
    </w:p>
    <w:p>
      <w:pPr>
        <w:pStyle w:val="ListBullet"/>
      </w:pPr>
      <w:hyperlink r:id="rId31">
        <w:r>
          <w:rPr>
            <w:color w:val="1155CC"/>
            <w:u w:val="single"/>
          </w:rPr>
          <w:t xml:space="preserve">Nguyen et al. Sequence modeling and design from molecular to genome scale with Evo. Science 2024</w:t>
        </w:r>
      </w:hyperlink>
      <w:r>
        <w:rPr>
          <w:sz w:val="22"/>
        </w:rPr>
        <w:t xml:space="preserve"> - 7B-param genomic model, 131k context; zero-shot function prediction and design.</w:t>
      </w:r>
    </w:p>
    <w:p>
      <w:pPr>
        <w:pStyle w:val="ListBullet"/>
      </w:pPr>
      <w:hyperlink r:id="rId97">
        <w:r>
          <w:rPr>
            <w:color w:val="1155CC"/>
            <w:u w:val="single"/>
          </w:rPr>
          <w:t xml:space="preserve">Brixi et al. Genome modeling and design across all domains of life with Evo 2. bioRxiv 2025</w:t>
        </w:r>
      </w:hyperlink>
      <w:r>
        <w:rPr>
          <w:sz w:val="22"/>
        </w:rPr>
        <w:t xml:space="preserve"> </w:t>
      </w:r>
      <w:r>
        <w:rPr>
          <w:rFonts w:ascii="Consolas" w:hAnsi="Consolas"/>
          <w:sz w:val="21"/>
        </w:rPr>
        <w:t>[preprint]</w:t>
      </w:r>
      <w:r>
        <w:rPr>
          <w:sz w:val="22"/>
        </w:rPr>
        <w:t xml:space="preserve"> - 7B/40B, 1Mb context; variant-effect prediction without fine-tuning. </w:t>
      </w:r>
      <w:r>
        <w:rPr>
          <w:i/>
          <w:sz w:val="22"/>
        </w:rPr>
        <w:t>(confirm journal version before submission)</w:t>
      </w:r>
    </w:p>
    <w:p>
      <w:pPr>
        <w:pStyle w:val="Heading2"/>
      </w:pPr>
      <w:r>
        <w:t>4.3 Multimodal modeling &amp; data integration</w:t>
      </w:r>
    </w:p>
    <w:p>
      <w:pPr>
        <w:pStyle w:val="ListBullet"/>
      </w:pPr>
      <w:hyperlink r:id="rId32">
        <w:r>
          <w:rPr>
            <w:color w:val="1155CC"/>
            <w:u w:val="single"/>
          </w:rPr>
          <w:t xml:space="preserve">Acosta et al. Multimodal biomedical AI. Nature Medicine 2022</w:t>
        </w:r>
      </w:hyperlink>
      <w:r>
        <w:rPr>
          <w:sz w:val="22"/>
        </w:rPr>
        <w:t xml:space="preserve"> - review of fusing biobank, EHR, imaging, biosensor, and omics data; directly relevant to AoU's integrated data.</w:t>
      </w:r>
    </w:p>
    <w:p>
      <w:pPr>
        <w:pStyle w:val="ListBullet"/>
      </w:pPr>
      <w:hyperlink r:id="rId98">
        <w:r>
          <w:rPr>
            <w:color w:val="1155CC"/>
            <w:u w:val="single"/>
          </w:rPr>
          <w:t xml:space="preserve">Boehm et al. Harnessing multimodal data integration to advance precision oncology. Nat Rev Cancer 2022</w:t>
        </w:r>
      </w:hyperlink>
      <w:r>
        <w:rPr>
          <w:sz w:val="22"/>
        </w:rPr>
        <w:t xml:space="preserve"> - integration of molecular/imaging/clinical modalities and its interoperability barriers.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99">
        <w:r>
          <w:rPr>
            <w:color w:val="1155CC"/>
            <w:u w:val="single"/>
          </w:rPr>
          <w:t xml:space="preserve">10.1038/s41568-021-00408-3</w:t>
        </w:r>
      </w:hyperlink>
    </w:p>
    <w:p>
      <w:pPr>
        <w:pStyle w:val="Heading2"/>
      </w:pPr>
      <w:r>
        <w:t>4.4 Disease-definition &amp; methods shifts</w:t>
      </w:r>
    </w:p>
    <w:p>
      <w:pPr>
        <w:pStyle w:val="ListBullet"/>
      </w:pPr>
      <w:hyperlink r:id="rId33">
        <w:r>
          <w:rPr>
            <w:color w:val="1155CC"/>
            <w:u w:val="single"/>
          </w:rPr>
          <w:t xml:space="preserve">Rinella et al. A multisociety Delphi consensus statement on new fatty liver disease nomenclature. Hepatology 2023</w:t>
        </w:r>
      </w:hyperlink>
      <w:r>
        <w:rPr>
          <w:sz w:val="22"/>
        </w:rPr>
        <w:t xml:space="preserve"> - NAFLD→MASLD / NASH→MASH; redefines phenotyping for cohort studies.</w:t>
      </w:r>
    </w:p>
    <w:p>
      <w:pPr>
        <w:pStyle w:val="ListBullet"/>
      </w:pPr>
      <w:hyperlink r:id="rId100">
        <w:r>
          <w:rPr>
            <w:color w:val="1155CC"/>
            <w:u w:val="single"/>
          </w:rPr>
          <w:t xml:space="preserve">Harrison et al. A Phase 3 Trial of Resmetirom in NASH with Liver Fibrosis (MAESTRO-NASH). N Engl J Med 2024</w:t>
        </w:r>
      </w:hyperlink>
      <w:r>
        <w:rPr>
          <w:sz w:val="22"/>
        </w:rPr>
        <w:t xml:space="preserve"> - first phase-3 success; marks MASH as an actionable entity.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101">
        <w:r>
          <w:rPr>
            <w:color w:val="1155CC"/>
            <w:u w:val="single"/>
          </w:rPr>
          <w:t xml:space="preserve">10.1056/NEJMoa2309000</w:t>
        </w:r>
      </w:hyperlink>
    </w:p>
    <w:p>
      <w:pPr>
        <w:pStyle w:val="ListBullet"/>
      </w:pPr>
      <w:hyperlink r:id="rId102">
        <w:r>
          <w:rPr>
            <w:color w:val="1155CC"/>
            <w:u w:val="single"/>
          </w:rPr>
          <w:t xml:space="preserve">Hernán &amp; Robins. Using Big Data to Emulate a Target Trial When a Randomized Trial Is Not Available. Am J Epidemiol 2016</w:t>
        </w:r>
      </w:hyperlink>
      <w:r>
        <w:rPr>
          <w:sz w:val="22"/>
        </w:rPr>
        <w:t xml:space="preserve"> - the founding target-trial-emulation framework; causal-inference anchor for EHR.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34">
        <w:r>
          <w:rPr>
            <w:color w:val="1155CC"/>
            <w:u w:val="single"/>
          </w:rPr>
          <w:t xml:space="preserve">10.1093/aje/kwv254</w:t>
        </w:r>
      </w:hyperlink>
    </w:p>
    <w:p>
      <w:pPr>
        <w:pStyle w:val="ListBullet"/>
      </w:pPr>
      <w:hyperlink r:id="rId103">
        <w:r>
          <w:rPr>
            <w:color w:val="1155CC"/>
            <w:u w:val="single"/>
          </w:rPr>
          <w:t xml:space="preserve">Hubbard et al. Target Trial Emulation for Observational Studies - Potential and Pitfalls. N Engl J Med 2024</w:t>
        </w:r>
      </w:hyperlink>
      <w:r>
        <w:rPr>
          <w:sz w:val="22"/>
        </w:rPr>
        <w:t xml:space="preserve"> - strengths and biases of TTE on EHR/claims.</w:t>
      </w:r>
    </w:p>
    <w:p>
      <w:pPr>
        <w:pStyle w:val="Heading2"/>
      </w:pPr>
      <w:r>
        <w:t>4.5 Frontiers needing assays AoU lacks ("partner, don't chase")</w:t>
      </w:r>
    </w:p>
    <w:p>
      <w:pPr>
        <w:pStyle w:val="ListBullet"/>
      </w:pPr>
      <w:hyperlink r:id="rId104">
        <w:r>
          <w:rPr>
            <w:color w:val="1155CC"/>
            <w:u w:val="single"/>
          </w:rPr>
          <w:t xml:space="preserve">Jumper et al. Highly accurate protein structure prediction with AlphaFold. Nature 2021</w:t>
        </w:r>
      </w:hyperlink>
      <w:r>
        <w:rPr>
          <w:sz w:val="22"/>
        </w:rPr>
        <w:t xml:space="preserve"> - AlphaFold2; a frontier to leverage, not reproduce.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35">
        <w:r>
          <w:rPr>
            <w:color w:val="1155CC"/>
            <w:u w:val="single"/>
          </w:rPr>
          <w:t xml:space="preserve">10.1038/s41586-021-03819-2</w:t>
        </w:r>
      </w:hyperlink>
    </w:p>
    <w:p>
      <w:pPr>
        <w:pStyle w:val="ListBullet"/>
      </w:pPr>
      <w:hyperlink r:id="rId105">
        <w:r>
          <w:rPr>
            <w:color w:val="1155CC"/>
            <w:u w:val="single"/>
          </w:rPr>
          <w:t xml:space="preserve">Abramson et al. Accurate structure prediction of biomolecular interactions with AlphaFold 3. Nature 2024</w:t>
        </w:r>
      </w:hyperlink>
      <w:r>
        <w:rPr>
          <w:sz w:val="22"/>
        </w:rPr>
        <w:t xml:space="preserve"> - extends to protein–ligand/nucleic-acid complexes.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106">
        <w:r>
          <w:rPr>
            <w:color w:val="1155CC"/>
            <w:u w:val="single"/>
          </w:rPr>
          <w:t xml:space="preserve">10.1038/s41586-024-07487-w</w:t>
        </w:r>
      </w:hyperlink>
    </w:p>
    <w:p>
      <w:pPr>
        <w:pStyle w:val="ListBullet"/>
      </w:pPr>
      <w:hyperlink r:id="rId107">
        <w:r>
          <w:rPr>
            <w:color w:val="1155CC"/>
            <w:u w:val="single"/>
          </w:rPr>
          <w:t xml:space="preserve">Marx. Method of the Year 2020: spatially resolved transcriptomics. Nature Methods 2021</w:t>
        </w:r>
      </w:hyperlink>
      <w:r>
        <w:rPr>
          <w:sz w:val="22"/>
        </w:rPr>
        <w:t xml:space="preserve"> - a tissue-assay frontier beyond a population cohort's sample types.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108">
        <w:r>
          <w:rPr>
            <w:color w:val="1155CC"/>
            <w:u w:val="single"/>
          </w:rPr>
          <w:t xml:space="preserve">10.1038/s41592-020-01033-y</w:t>
        </w:r>
      </w:hyperlink>
    </w:p>
    <w:p>
      <w:pPr>
        <w:pStyle w:val="ListBullet"/>
      </w:pPr>
      <w:hyperlink r:id="rId109">
        <w:r>
          <w:rPr>
            <w:color w:val="1155CC"/>
            <w:u w:val="single"/>
          </w:rPr>
          <w:t xml:space="preserve">Regev et al. The Human Cell Atlas. eLife 2017</w:t>
        </w:r>
      </w:hyperlink>
      <w:r>
        <w:rPr>
          <w:sz w:val="22"/>
        </w:rPr>
        <w:t xml:space="preserve"> - the single-cell reference effort AoU can align to rather than duplicate.</w:t>
      </w:r>
    </w:p>
    <w:p>
      <w:pPr>
        <w:pStyle w:val="ListBullet"/>
      </w:pPr>
      <w:hyperlink r:id="rId110">
        <w:r>
          <w:rPr>
            <w:color w:val="1155CC"/>
            <w:u w:val="single"/>
          </w:rPr>
          <w:t xml:space="preserve">The Tabula Sapiens Consortium. The Tabula Sapiens single-cell transcriptomic atlas of humans. Science 2022</w:t>
        </w:r>
      </w:hyperlink>
      <w:r>
        <w:rPr>
          <w:sz w:val="22"/>
        </w:rPr>
        <w:t xml:space="preserve"> - ~500k cells / 24 tissues; requires assays AoU does not collect. · </w:t>
      </w:r>
      <w:r>
        <w:rPr>
          <w:b/>
          <w:sz w:val="22"/>
        </w:rPr>
        <w:t>DOI:</w:t>
      </w:r>
      <w:r>
        <w:rPr>
          <w:sz w:val="22"/>
        </w:rPr>
        <w:t xml:space="preserve"> </w:t>
      </w:r>
      <w:hyperlink r:id="rId111">
        <w:r>
          <w:rPr>
            <w:color w:val="1155CC"/>
            <w:u w:val="single"/>
          </w:rPr>
          <w:t xml:space="preserve">10.1126/science.abl4896</w:t>
        </w:r>
      </w:hyperlink>
    </w:p>
    <w:p>
      <w:pPr>
        <w:pStyle w:val="Heading1"/>
      </w:pPr>
      <w:r>
        <w:t>5. The analysis platform: the Researcher Workbench</w:t>
      </w:r>
    </w:p>
    <w:p>
      <w:pPr>
        <w:pStyle w:val="Heading2"/>
      </w:pPr>
      <w:r>
        <w:t>5.1 Secure analysis platforms / data commons</w:t>
      </w:r>
    </w:p>
    <w:p>
      <w:pPr>
        <w:pStyle w:val="ListBullet"/>
      </w:pPr>
      <w:r>
        <w:rPr>
          <w:i/>
          <w:sz w:val="22"/>
        </w:rPr>
        <w:t>Haendel et al. N3C. JAMIA 2021</w:t>
      </w:r>
      <w:r>
        <w:rPr>
          <w:sz w:val="22"/>
        </w:rPr>
        <w:t xml:space="preserve"> (see Anchor seeds) - the secure governed enclave model. </w:t>
      </w:r>
      <w:r>
        <w:rPr>
          <w:b/>
          <w:sz w:val="22"/>
        </w:rPr>
        <w:t>[Author-group]</w:t>
      </w:r>
    </w:p>
    <w:p>
      <w:pPr>
        <w:pStyle w:val="ListBullet"/>
      </w:pPr>
      <w:r>
        <w:rPr>
          <w:i/>
          <w:sz w:val="22"/>
        </w:rPr>
        <w:t>Ramirez et al. Patterns 2022</w:t>
      </w:r>
      <w:r>
        <w:rPr>
          <w:sz w:val="22"/>
        </w:rPr>
        <w:t xml:space="preserve"> - the cloud-based Researcher Workbench and data-passport access model.</w:t>
      </w:r>
    </w:p>
    <w:p>
      <w:pPr>
        <w:pStyle w:val="ListBullet"/>
      </w:pPr>
      <w:hyperlink r:id="rId37">
        <w:r>
          <w:rPr>
            <w:color w:val="1155CC"/>
            <w:u w:val="single"/>
          </w:rPr>
          <w:t xml:space="preserve">Schatz et al. Inverting the model of genomics data sharing with the NHGRI AnVIL. Cell Genomics 2022</w:t>
        </w:r>
      </w:hyperlink>
      <w:r>
        <w:rPr>
          <w:sz w:val="22"/>
        </w:rPr>
        <w:t xml:space="preserve"> - canonical AnVIL "bring-compute-to-data" paper.</w:t>
      </w:r>
    </w:p>
    <w:p>
      <w:pPr>
        <w:pStyle w:val="ListBullet"/>
      </w:pPr>
      <w:hyperlink r:id="rId38">
        <w:r>
          <w:rPr>
            <w:color w:val="1155CC"/>
            <w:u w:val="single"/>
          </w:rPr>
          <w:t xml:space="preserve">Ahalt et al. Building a collaborative cloud platform (NHLBI BioData Catalyst). JAMIA 2023</w:t>
        </w:r>
      </w:hyperlink>
      <w:r>
        <w:rPr>
          <w:sz w:val="22"/>
        </w:rPr>
        <w:t xml:space="preserve"> - community-driven cloud data/compute commons.</w:t>
      </w:r>
    </w:p>
    <w:p>
      <w:pPr>
        <w:pStyle w:val="ListBullet"/>
      </w:pPr>
      <w:hyperlink r:id="rId39">
        <w:r>
          <w:rPr>
            <w:color w:val="1155CC"/>
            <w:u w:val="single"/>
          </w:rPr>
          <w:t xml:space="preserve">O'Connor et al. Dockstore: sharing Docker-based tools and workflows. F1000Research 2017</w:t>
        </w:r>
      </w:hyperlink>
      <w:r>
        <w:rPr>
          <w:sz w:val="22"/>
        </w:rPr>
        <w:t xml:space="preserve"> - registry of portable containerized workflows across commons.</w:t>
      </w:r>
    </w:p>
    <w:p>
      <w:pPr>
        <w:pStyle w:val="Heading2"/>
      </w:pPr>
      <w:r>
        <w:t>5.2 Standards &amp; interoperability</w:t>
      </w:r>
    </w:p>
    <w:p>
      <w:pPr>
        <w:pStyle w:val="ListBullet"/>
      </w:pPr>
      <w:hyperlink r:id="rId40">
        <w:r>
          <w:rPr>
            <w:color w:val="1155CC"/>
            <w:u w:val="single"/>
          </w:rPr>
          <w:t xml:space="preserve">Wilkinson et al. The FAIR Guiding Principles for scientific data management. Sci Data 2016</w:t>
        </w:r>
      </w:hyperlink>
      <w:r>
        <w:rPr>
          <w:sz w:val="22"/>
        </w:rPr>
        <w:t xml:space="preserve"> - the canonical FAIR principles.</w:t>
      </w:r>
    </w:p>
    <w:p>
      <w:pPr>
        <w:pStyle w:val="ListBullet"/>
      </w:pPr>
      <w:hyperlink r:id="rId41">
        <w:r>
          <w:rPr>
            <w:color w:val="1155CC"/>
            <w:u w:val="single"/>
          </w:rPr>
          <w:t xml:space="preserve">Rehm et al. GA4GH: International policies and standards for data sharing. Cell Genomics 2021</w:t>
        </w:r>
      </w:hyperlink>
      <w:r>
        <w:rPr>
          <w:sz w:val="22"/>
        </w:rPr>
        <w:t xml:space="preserve"> - interoperable standards and policy for responsible genomic/clinical data sharing.</w:t>
      </w:r>
    </w:p>
    <w:p>
      <w:pPr>
        <w:pStyle w:val="ListBullet"/>
      </w:pPr>
      <w:r>
        <w:rPr>
          <w:i/>
          <w:sz w:val="22"/>
        </w:rPr>
        <w:t>Jacobsen et al. GA4GH Phenopacket schema. Nat Biotechnol 2022</w:t>
      </w:r>
      <w:r>
        <w:rPr>
          <w:sz w:val="22"/>
        </w:rPr>
        <w:t xml:space="preserve"> (see Anchor seeds) - computable phenotype exchange. </w:t>
      </w:r>
      <w:r>
        <w:rPr>
          <w:b/>
          <w:sz w:val="22"/>
        </w:rPr>
        <w:t>[Author-group]</w:t>
      </w:r>
    </w:p>
    <w:p>
      <w:pPr>
        <w:pStyle w:val="ListBullet"/>
      </w:pPr>
      <w:r>
        <w:rPr>
          <w:i/>
          <w:sz w:val="22"/>
        </w:rPr>
        <w:t>Overhage et al. OMOP CDM. JAMIA 2012</w:t>
      </w:r>
      <w:r>
        <w:rPr>
          <w:sz w:val="22"/>
        </w:rPr>
        <w:t xml:space="preserve"> - harmonized multi-site analytics (as used by N3C/OHDSI).</w:t>
      </w:r>
    </w:p>
    <w:p>
      <w:pPr>
        <w:pStyle w:val="ListBullet"/>
      </w:pPr>
      <w:hyperlink r:id="rId112">
        <w:r>
          <w:rPr>
            <w:color w:val="1155CC"/>
            <w:u w:val="single"/>
          </w:rPr>
          <w:t xml:space="preserve">Biomedical Data Translator Consortium. Toward A Universal Biomedical Data Translator. Clin Transl Sci 2019</w:t>
        </w:r>
      </w:hyperlink>
      <w:r>
        <w:rPr>
          <w:sz w:val="22"/>
        </w:rPr>
        <w:t xml:space="preserve"> - NCATS Translator reasoning over integrated knowledge graphs. </w:t>
      </w:r>
      <w:r>
        <w:rPr>
          <w:i/>
          <w:sz w:val="22"/>
        </w:rPr>
        <w:t>(consortium byline - not tagged; see caveats)</w:t>
      </w:r>
    </w:p>
    <w:p>
      <w:pPr>
        <w:pStyle w:val="Heading1"/>
      </w:pPr>
      <w:r>
        <w:t>6. Recommendations - governed/responsible AI for the refreshed roadmap</w:t>
      </w:r>
    </w:p>
    <w:p>
      <w:pPr>
        <w:pStyle w:val="ListBullet"/>
      </w:pPr>
      <w:hyperlink r:id="rId42">
        <w:r>
          <w:rPr>
            <w:color w:val="1155CC"/>
            <w:u w:val="single"/>
          </w:rPr>
          <w:t xml:space="preserve">Obermeyer et al. Dissecting racial bias in an algorithm used to manage the health of populations. Science 2019</w:t>
        </w:r>
      </w:hyperlink>
      <w:r>
        <w:rPr>
          <w:sz w:val="22"/>
        </w:rPr>
        <w:t xml:space="preserve"> - landmark demonstration of racial bias in a deployed clinical algorithm.</w:t>
      </w:r>
    </w:p>
    <w:p>
      <w:pPr>
        <w:pStyle w:val="ListBullet"/>
      </w:pPr>
      <w:hyperlink r:id="rId43">
        <w:r>
          <w:rPr>
            <w:color w:val="1155CC"/>
            <w:u w:val="single"/>
          </w:rPr>
          <w:t xml:space="preserve">Wiens et al. Do no harm: a roadmap for responsible machine learning for health care. Nat Med 2019</w:t>
        </w:r>
      </w:hyperlink>
      <w:r>
        <w:rPr>
          <w:sz w:val="22"/>
        </w:rPr>
        <w:t xml:space="preserve"> - framework for responsibly moving ML to deployment.</w:t>
      </w:r>
    </w:p>
    <w:p>
      <w:pPr>
        <w:pStyle w:val="ListBullet"/>
      </w:pPr>
      <w:hyperlink r:id="rId44">
        <w:r>
          <w:rPr>
            <w:color w:val="1155CC"/>
            <w:u w:val="single"/>
          </w:rPr>
          <w:t xml:space="preserve">Rajkomar et al. Ensuring Fairness in Machine Learning to Advance Health Equity. Ann Intern Med 2018</w:t>
        </w:r>
      </w:hyperlink>
      <w:r>
        <w:rPr>
          <w:sz w:val="22"/>
        </w:rPr>
        <w:t xml:space="preserve"> - fairness criteria and distributive-justice principles for clinical ML.</w:t>
      </w:r>
    </w:p>
    <w:p>
      <w:pPr>
        <w:pStyle w:val="ListBullet"/>
      </w:pPr>
      <w:hyperlink r:id="rId45">
        <w:r>
          <w:rPr>
            <w:color w:val="1155CC"/>
            <w:u w:val="single"/>
          </w:rPr>
          <w:t xml:space="preserve">Char et al. Implementing Machine Learning in Health Care - Addressing Ethical Challenges. NEJM 2018</w:t>
        </w:r>
      </w:hyperlink>
      <w:r>
        <w:rPr>
          <w:sz w:val="22"/>
        </w:rPr>
        <w:t xml:space="preserve"> - ethical risks (bias, oversight) in clinical ML.</w:t>
      </w:r>
    </w:p>
    <w:p>
      <w:r>
        <w:rPr>
          <w:sz w:val="22"/>
        </w:rPr>
        <w:t>**</w:t>
      </w:r>
    </w:p>
    <w:p>
      <w:pPr>
        <w:pStyle w:val="Heading1"/>
      </w:pPr>
      <w:r>
        <w:t>Caveats to check before use</w:t>
      </w:r>
    </w:p>
    <w:p>
      <w:r>
        <w:rPr>
          <w:b/>
          <w:sz w:val="22"/>
        </w:rPr>
        <w:t>Cross-listed (list once; cited in multiple sections):</w:t>
      </w:r>
      <w:r>
        <w:rPr>
          <w:sz w:val="22"/>
        </w:rPr>
        <w:t xml:space="preserve"> AoU NEJM 2019; Ramirez Patterns 2022; Overhage OMOP 2012; Jacobsen Phenopacket 2022 (Anchor).</w:t>
      </w:r>
    </w:p>
    <w:p>
      <w:r>
        <w:rPr>
          <w:b/>
          <w:sz w:val="22"/>
        </w:rPr>
        <w:t>Preprints (confirm/upgrade to journal version before submission):</w:t>
      </w:r>
      <w:r>
        <w:rPr>
          <w:sz w:val="22"/>
        </w:rPr>
        <w:t xml:space="preserve"> Nori et al. GPT-4 (arXiv 2303.13375); Brixi et al. Evo 2 (bioRxiv 2025.02.18.638918 - reportedly later in </w:t>
      </w:r>
      <w:r>
        <w:rPr>
          <w:i/>
          <w:sz w:val="22"/>
        </w:rPr>
        <w:t>Nature</w:t>
      </w:r>
      <w:r>
        <w:rPr>
          <w:sz w:val="22"/>
        </w:rPr>
        <w:t xml:space="preserve"> ~2026; verify).</w:t>
      </w:r>
    </w:p>
    <w:p>
      <w:r>
        <w:rPr>
          <w:b/>
          <w:sz w:val="22"/>
        </w:rPr>
        <w:t>Dual-journal:</w:t>
      </w:r>
      <w:r>
        <w:rPr>
          <w:sz w:val="22"/>
        </w:rPr>
        <w:t xml:space="preserve"> Rinella MASLD consensus co-published in </w:t>
      </w:r>
      <w:r>
        <w:rPr>
          <w:i/>
          <w:sz w:val="22"/>
        </w:rPr>
        <w:t>Hepatology</w:t>
      </w:r>
      <w:r>
        <w:rPr>
          <w:sz w:val="22"/>
        </w:rPr>
        <w:t xml:space="preserve"> (DOI above) and </w:t>
      </w:r>
      <w:r>
        <w:rPr>
          <w:i/>
          <w:sz w:val="22"/>
        </w:rPr>
        <w:t>J Hepatol</w:t>
      </w:r>
      <w:r>
        <w:rPr>
          <w:sz w:val="22"/>
        </w:rPr>
        <w:t xml:space="preserve"> 2023;79(6):1542–1556 - cite per the manuscript's style.</w:t>
      </w:r>
    </w:p>
    <w:p>
      <w:r>
        <w:rPr>
          <w:b/>
          <w:sz w:val="22"/>
        </w:rPr>
        <w:t>Preprint→journal already resolved:</w:t>
      </w:r>
      <w:r>
        <w:rPr>
          <w:sz w:val="22"/>
        </w:rPr>
        <w:t xml:space="preserve"> Nucleotide Transformer cited to </w:t>
      </w:r>
      <w:r>
        <w:rPr>
          <w:i/>
          <w:sz w:val="22"/>
        </w:rPr>
        <w:t>Nat Methods</w:t>
      </w:r>
      <w:r>
        <w:rPr>
          <w:sz w:val="22"/>
        </w:rPr>
        <w:t xml:space="preserve"> 2025 (not the 2023 bioRxiv); Evo to </w:t>
      </w:r>
      <w:r>
        <w:rPr>
          <w:i/>
          <w:sz w:val="22"/>
        </w:rPr>
        <w:t>Science</w:t>
      </w:r>
      <w:r>
        <w:rPr>
          <w:sz w:val="22"/>
        </w:rPr>
        <w:t xml:space="preserve"> 2024; Mondo to </w:t>
      </w:r>
      <w:r>
        <w:rPr>
          <w:i/>
          <w:sz w:val="22"/>
        </w:rPr>
        <w:t>Genetics</w:t>
      </w:r>
      <w:r>
        <w:rPr>
          <w:sz w:val="22"/>
        </w:rPr>
        <w:t xml:space="preserve"> 2025 (not 2022 medRxiv).</w:t>
      </w:r>
    </w:p>
    <w:p>
      <w:r>
        <w:rPr>
          <w:b/>
          <w:sz w:val="22"/>
        </w:rPr>
        <w:t>Author-group tagging:</w:t>
      </w:r>
    </w:p>
    <w:p>
      <w:pPr>
        <w:pStyle w:val="ListBullet"/>
      </w:pPr>
      <w:r>
        <w:rPr>
          <w:sz w:val="22"/>
        </w:rPr>
        <w:t>Tagged (byline-verified): N3C (Haendel 1st), Monarch 2019/2024 (Haendel senior), HPO 2021 (Haendel in large byline), Phenopacket 2022, Mondo 2025.</w:t>
      </w:r>
    </w:p>
    <w:p>
      <w:pPr>
        <w:pStyle w:val="ListBullet"/>
      </w:pPr>
      <w:r>
        <w:rPr>
          <w:b/>
          <w:sz w:val="22"/>
        </w:rPr>
        <w:t>NOT tagged:</w:t>
      </w:r>
      <w:r>
        <w:rPr>
          <w:sz w:val="22"/>
        </w:rPr>
        <w:t xml:space="preserve"> Biomedical Data Translator Consortium (Clin Transl Sci 2019) carries a </w:t>
      </w:r>
      <w:r>
        <w:rPr>
          <w:i/>
          <w:sz w:val="22"/>
        </w:rPr>
        <w:t>consortium</w:t>
      </w:r>
      <w:r>
        <w:rPr>
          <w:sz w:val="22"/>
        </w:rPr>
        <w:t xml:space="preserve"> byline with no individual authors - Haendel is a program participant, not a byline author; placed in untagged. (Date also ambiguous: epub Nov 2018, print 2019.)</w:t>
      </w:r>
    </w:p>
    <w:p>
      <w:r>
        <w:rPr>
          <w:b/>
          <w:sz w:val="22"/>
        </w:rPr>
        <w:t>Gray literature:</w:t>
      </w:r>
      <w:r>
        <w:rPr>
          <w:sz w:val="22"/>
        </w:rPr>
        <w:t xml:space="preserve"> the PMI Working Group report is an NIH government report, not peer-reviewed (included as the foundational design document).</w:t>
      </w:r>
    </w:p>
    <w:p>
      <w:r>
        <w:rPr>
          <w:b/>
          <w:sz w:val="22"/>
        </w:rPr>
        <w:t>Deliberately omitted (no verifiable canonical paper found - do not add unverified):</w:t>
      </w:r>
      <w:r>
        <w:rPr>
          <w:sz w:val="22"/>
        </w:rPr>
        <w:t xml:space="preserve"> a dedicated </w:t>
      </w:r>
      <w:r>
        <w:rPr>
          <w:b/>
          <w:sz w:val="22"/>
        </w:rPr>
        <w:t>Terra</w:t>
      </w:r>
      <w:r>
        <w:rPr>
          <w:sz w:val="22"/>
        </w:rPr>
        <w:t xml:space="preserve"> platform paper (only vendor press releases; represented via AnVIL + BioData Catalyst); a </w:t>
      </w:r>
      <w:r>
        <w:rPr>
          <w:b/>
          <w:sz w:val="22"/>
        </w:rPr>
        <w:t>Gabriella Miller Kids First</w:t>
      </w:r>
      <w:r>
        <w:rPr>
          <w:sz w:val="22"/>
        </w:rPr>
        <w:t xml:space="preserve"> platform paper (only NIH program pages); a standalone "compute-to-data" citation (anchored by AnVIL/BioData Catalyst); CKB's 2005 KSCDC predecessor profile; Peterson et al. 2019 and MVP array-methods papers (surfaced but not individually fetch-verified).</w:t>
      </w:r>
    </w:p>
    <w:p>
      <w:r>
        <w:rPr>
          <w:b/>
          <w:sz w:val="22"/>
        </w:rPr>
        <w:t>General:</w:t>
      </w:r>
      <w:r>
        <w:rPr>
          <w:sz w:val="22"/>
        </w:rPr>
        <w:t xml:space="preserve"> all URLs resolve to the exact paper (title + first author + year matched); some full texts are paywalled. Hubbard, Mehandru, Char, Wiens are Perspective/framing pieces, not primary evidence. Spot-check every DOI against your reference manager on import.</w:t>
      </w:r>
    </w:p>
    <w:p>
      <w:pPr>
        <w:pStyle w:val="Heading1"/>
      </w:pPr>
      <w:r>
        <w:t>Committee-sourced verified additions (2026-10-21)</w:t>
      </w:r>
    </w:p>
    <w:p>
      <w:r>
        <w:rPr>
          <w:b/>
          <w:sz w:val="22"/>
        </w:rPr>
        <w:t>AoU program papers (committee 2026 series):</w:t>
      </w:r>
    </w:p>
    <w:p>
      <w:pPr>
        <w:pStyle w:val="ListBullet"/>
      </w:pPr>
      <w:hyperlink r:id="rId113">
        <w:r>
          <w:rPr>
            <w:color w:val="1155CC"/>
            <w:u w:val="single"/>
          </w:rPr>
          <w:t xml:space="preserve">Montgomery et al. Assessing the generalizability of prevalence estimates from the All of Us Research Program. Am J Epidemiology 2026;195(7):1962–1973</w:t>
        </w:r>
      </w:hyperlink>
      <w:r>
        <w:rPr>
          <w:sz w:val="22"/>
        </w:rPr>
        <w:t xml:space="preserve"> - generalizability Driver Project. DOI 10.1093/aje/kwag010 · PMID 41536210.</w:t>
      </w:r>
    </w:p>
    <w:p>
      <w:pPr>
        <w:pStyle w:val="ListBullet"/>
      </w:pPr>
      <w:hyperlink r:id="rId47">
        <w:r>
          <w:rPr>
            <w:color w:val="1155CC"/>
            <w:u w:val="single"/>
          </w:rPr>
          <w:t xml:space="preserve">waou: Weighting All of Us (Brannock/Elkasabi/Montgomery). CRAN 2026, v0.1.1</w:t>
        </w:r>
      </w:hyperlink>
      <w:r>
        <w:rPr>
          <w:sz w:val="22"/>
        </w:rPr>
        <w:t xml:space="preserve"> - released weighting package tool.</w:t>
      </w:r>
    </w:p>
    <w:p>
      <w:pPr>
        <w:pStyle w:val="ListBullet"/>
      </w:pPr>
      <w:hyperlink r:id="rId114">
        <w:r>
          <w:rPr>
            <w:color w:val="1155CC"/>
            <w:u w:val="single"/>
          </w:rPr>
          <w:t xml:space="preserve">Cohn et al. Leveraging the All of Us Research Program to advance women's health. J Womens Health 2026;35(8):724–734</w:t>
        </w:r>
      </w:hyperlink>
      <w:r>
        <w:rPr>
          <w:sz w:val="22"/>
        </w:rPr>
        <w:t xml:space="preserve"> - Women's Health Driver Project exemplar. DOI 10.1177/15409996261434111 · PMID 41856979.</w:t>
      </w:r>
    </w:p>
    <w:p>
      <w:r>
        <w:rPr>
          <w:b/>
          <w:sz w:val="22"/>
        </w:rPr>
        <w:t>Frontier-methods harvest:</w:t>
      </w:r>
      <w:r>
        <w:rPr>
          <w:sz w:val="22"/>
        </w:rPr>
        <w:t xml:space="preserve"> 15 verified additions (genomic foundation models, clinical LLMs, agentic AI, multimodal, target-trial emulation, EHR foundation models) appended to </w:t>
      </w:r>
      <w:hyperlink r:id="rId115">
        <w:r>
          <w:rPr>
            <w:color w:val="1155CC"/>
            <w:u w:val="single"/>
          </w:rPr>
          <w:t xml:space="preserve">`citations_clusterC.md`</w:t>
        </w:r>
      </w:hyperlink>
      <w:r>
        <w:rPr>
          <w:sz w:val="22"/>
        </w:rPr>
        <w:t>.</w:t>
      </w:r>
    </w:p>
    <w:p>
      <w:r>
        <w:rPr>
          <w:b/>
          <w:sz w:val="22"/>
        </w:rPr>
        <w:t>Deliberately omitted - UNVERIFIED:</w:t>
      </w:r>
      <w:r>
        <w:rPr>
          <w:sz w:val="22"/>
        </w:rPr>
        <w:t xml:space="preserve"> the multi-omics preprint "Multi-omics in 10,000 diverse individuals…" (Montgomery/Padhi, AoU) could not be located on PubMed, bioRxiv, medRxiv, or the web (title/authors/cohort unconfirmed). The 10k multi-omics program is described in the deliverables as a program activity (committee update), </w:t>
      </w:r>
      <w:r>
        <w:rPr>
          <w:b/>
          <w:sz w:val="22"/>
        </w:rPr>
        <w:t>not</w:t>
      </w:r>
      <w:r>
        <w:rPr>
          <w:sz w:val="22"/>
        </w:rPr>
        <w:t xml:space="preserve"> cited to a paper until one is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056/NEJMp1500523" TargetMode="External"/><Relationship Id="rId10" Type="http://schemas.openxmlformats.org/officeDocument/2006/relationships/hyperlink" Target="https://www.nih.gov/sites/default/files/research-training/initiatives/pmi/09172015-pmi-working-group-report.pdf" TargetMode="External"/><Relationship Id="rId11" Type="http://schemas.openxmlformats.org/officeDocument/2006/relationships/hyperlink" Target="https://doi.org/10.1056/NEJMsr1809937" TargetMode="External"/><Relationship Id="rId12" Type="http://schemas.openxmlformats.org/officeDocument/2006/relationships/hyperlink" Target="https://doi.org/10.1371/journal.pone.0234962" TargetMode="External"/><Relationship Id="rId13" Type="http://schemas.openxmlformats.org/officeDocument/2006/relationships/hyperlink" Target="https://doi.org/10.1016/j.cell.2021.01.015" TargetMode="External"/><Relationship Id="rId14" Type="http://schemas.openxmlformats.org/officeDocument/2006/relationships/hyperlink" Target="https://doi.org/10.1136/amiajnl-2011-000376" TargetMode="External"/><Relationship Id="rId15" Type="http://schemas.openxmlformats.org/officeDocument/2006/relationships/hyperlink" Target="https://doi.org/10.1093/bioinformatics/btq126" TargetMode="External"/><Relationship Id="rId16" Type="http://schemas.openxmlformats.org/officeDocument/2006/relationships/hyperlink" Target="https://doi.org/10.1038/s41586-023-06957-x" TargetMode="External"/><Relationship Id="rId17" Type="http://schemas.openxmlformats.org/officeDocument/2006/relationships/hyperlink" Target="https://doi.org/10.1016/j.patter.2022.100570" TargetMode="External"/><Relationship Id="rId18" Type="http://schemas.openxmlformats.org/officeDocument/2006/relationships/hyperlink" Target="https://doi.org/10.2196/45103" TargetMode="External"/><Relationship Id="rId19" Type="http://schemas.openxmlformats.org/officeDocument/2006/relationships/hyperlink" Target="https://www.nih.gov/allofus/funding/partnered-research-studies" TargetMode="External"/><Relationship Id="rId20" Type="http://schemas.openxmlformats.org/officeDocument/2006/relationships/hyperlink" Target="https://doi.org/10.1177/15409996261434111" TargetMode="External"/><Relationship Id="rId21" Type="http://schemas.openxmlformats.org/officeDocument/2006/relationships/hyperlink" Target="https://doi.org/10.1371/journal.pmed.1001779" TargetMode="External"/><Relationship Id="rId22" Type="http://schemas.openxmlformats.org/officeDocument/2006/relationships/hyperlink" Target="https://doi.org/10.1016/j.jclinepi.2015.09.016" TargetMode="External"/><Relationship Id="rId23" Type="http://schemas.openxmlformats.org/officeDocument/2006/relationships/hyperlink" Target="https://doi.org/10.1038/s41586-022-05473-8" TargetMode="External"/><Relationship Id="rId24" Type="http://schemas.openxmlformats.org/officeDocument/2006/relationships/hyperlink" Target="https://doi.org/10.1093/ije/dyr120" TargetMode="External"/><Relationship Id="rId25" Type="http://schemas.openxmlformats.org/officeDocument/2006/relationships/hyperlink" Target="https://doi.org/10.1016/j.cell.2019.02.048" TargetMode="External"/><Relationship Id="rId26" Type="http://schemas.openxmlformats.org/officeDocument/2006/relationships/hyperlink" Target="https://doi.org/10.1038/s41588-019-0379-x" TargetMode="External"/><Relationship Id="rId27" Type="http://schemas.openxmlformats.org/officeDocument/2006/relationships/hyperlink" Target="https://doi.org/10.1093/aje/kwx246" TargetMode="External"/><Relationship Id="rId28" Type="http://schemas.openxmlformats.org/officeDocument/2006/relationships/hyperlink" Target="https://doi.org/10.1038/s41586-023-05881-4" TargetMode="External"/><Relationship Id="rId29" Type="http://schemas.openxmlformats.org/officeDocument/2006/relationships/hyperlink" Target="https://doi.org/10.1038/s41586-023-06291-2" TargetMode="External"/><Relationship Id="rId30" Type="http://schemas.openxmlformats.org/officeDocument/2006/relationships/hyperlink" Target="https://doi.org/10.1038/s41592-024-02523-z" TargetMode="External"/><Relationship Id="rId31" Type="http://schemas.openxmlformats.org/officeDocument/2006/relationships/hyperlink" Target="https://doi.org/10.1126/science.ado9336" TargetMode="External"/><Relationship Id="rId32" Type="http://schemas.openxmlformats.org/officeDocument/2006/relationships/hyperlink" Target="https://doi.org/10.1038/s41591-022-01981-2" TargetMode="External"/><Relationship Id="rId33" Type="http://schemas.openxmlformats.org/officeDocument/2006/relationships/hyperlink" Target="https://doi.org/10.1097/HEP.0000000000000520" TargetMode="External"/><Relationship Id="rId34" Type="http://schemas.openxmlformats.org/officeDocument/2006/relationships/hyperlink" Target="https://doi.org/10.1093/aje/kwv254" TargetMode="External"/><Relationship Id="rId35" Type="http://schemas.openxmlformats.org/officeDocument/2006/relationships/hyperlink" Target="https://doi.org/10.1038/s41586-021-03819-2" TargetMode="External"/><Relationship Id="rId36" Type="http://schemas.openxmlformats.org/officeDocument/2006/relationships/hyperlink" Target="https://doi.org/10.1093/jamia/ocaa196" TargetMode="External"/><Relationship Id="rId37" Type="http://schemas.openxmlformats.org/officeDocument/2006/relationships/hyperlink" Target="https://doi.org/10.1016/j.xgen.2021.100085" TargetMode="External"/><Relationship Id="rId38" Type="http://schemas.openxmlformats.org/officeDocument/2006/relationships/hyperlink" Target="https://doi.org/10.1093/jamia/ocad048" TargetMode="External"/><Relationship Id="rId39" Type="http://schemas.openxmlformats.org/officeDocument/2006/relationships/hyperlink" Target="https://doi.org/10.12688/f1000research.10137.1" TargetMode="External"/><Relationship Id="rId40" Type="http://schemas.openxmlformats.org/officeDocument/2006/relationships/hyperlink" Target="https://doi.org/10.1038/sdata.2016.18" TargetMode="External"/><Relationship Id="rId41" Type="http://schemas.openxmlformats.org/officeDocument/2006/relationships/hyperlink" Target="https://doi.org/10.1016/j.xgen.2021.100029" TargetMode="External"/><Relationship Id="rId42" Type="http://schemas.openxmlformats.org/officeDocument/2006/relationships/hyperlink" Target="https://doi.org/10.1126/science.aax2342" TargetMode="External"/><Relationship Id="rId43" Type="http://schemas.openxmlformats.org/officeDocument/2006/relationships/hyperlink" Target="https://doi.org/10.1038/s41591-019-0548-6" TargetMode="External"/><Relationship Id="rId44" Type="http://schemas.openxmlformats.org/officeDocument/2006/relationships/hyperlink" Target="https://doi.org/10.7326/M18-1990" TargetMode="External"/><Relationship Id="rId45" Type="http://schemas.openxmlformats.org/officeDocument/2006/relationships/hyperlink" Target="https://doi.org/10.1056/NEJMp1714229" TargetMode="External"/><Relationship Id="rId46" Type="http://schemas.openxmlformats.org/officeDocument/2006/relationships/hyperlink" Target="https://doi.org/10.1093/aje/kwag010" TargetMode="External"/><Relationship Id="rId47" Type="http://schemas.openxmlformats.org/officeDocument/2006/relationships/hyperlink" Target="https://CRAN.R-project.org/package=waou" TargetMode="External"/><Relationship Id="rId48" Type="http://schemas.openxmlformats.org/officeDocument/2006/relationships/hyperlink" Target="https://doi.org/10.1093/nar/gkad1082" TargetMode="External"/><Relationship Id="rId49" Type="http://schemas.openxmlformats.org/officeDocument/2006/relationships/hyperlink" Target="outline.md" TargetMode="External"/><Relationship Id="rId50" Type="http://schemas.openxmlformats.org/officeDocument/2006/relationships/hyperlink" Target="https://doi.org/10.1093/nar/gkz997" TargetMode="External"/><Relationship Id="rId51" Type="http://schemas.openxmlformats.org/officeDocument/2006/relationships/hyperlink" Target="https://doi.org/10.1093/nar/gkaa1043" TargetMode="External"/><Relationship Id="rId52" Type="http://schemas.openxmlformats.org/officeDocument/2006/relationships/hyperlink" Target="https://doi.org/10.1038/s41587-022-01357-4" TargetMode="External"/><Relationship Id="rId53" Type="http://schemas.openxmlformats.org/officeDocument/2006/relationships/hyperlink" Target="https://doi.org/10.1093/genetics/iyaf215" TargetMode="External"/><Relationship Id="rId54" Type="http://schemas.openxmlformats.org/officeDocument/2006/relationships/hyperlink" Target="https://pubmed.ncbi.nlm.nih.gov/25635347/" TargetMode="External"/><Relationship Id="rId55" Type="http://schemas.openxmlformats.org/officeDocument/2006/relationships/hyperlink" Target="https://pubmed.ncbi.nlm.nih.gov/31412182/" TargetMode="External"/><Relationship Id="rId56" Type="http://schemas.openxmlformats.org/officeDocument/2006/relationships/hyperlink" Target="https://pmc.ncbi.nlm.nih.gov/articles/PMC7329113/" TargetMode="External"/><Relationship Id="rId57" Type="http://schemas.openxmlformats.org/officeDocument/2006/relationships/hyperlink" Target="https://pmc.ncbi.nlm.nih.gov/articles/PMC10937371/" TargetMode="External"/><Relationship Id="rId58" Type="http://schemas.openxmlformats.org/officeDocument/2006/relationships/hyperlink" Target="https://pmc.ncbi.nlm.nih.gov/articles/PMC9403360/" TargetMode="External"/><Relationship Id="rId59" Type="http://schemas.openxmlformats.org/officeDocument/2006/relationships/hyperlink" Target="https://pmc.ncbi.nlm.nih.gov/articles/PMC3240764/" TargetMode="External"/><Relationship Id="rId60" Type="http://schemas.openxmlformats.org/officeDocument/2006/relationships/hyperlink" Target="https://doi.org/10.3233/978-1-61499-564-7-574" TargetMode="External"/><Relationship Id="rId61" Type="http://schemas.openxmlformats.org/officeDocument/2006/relationships/hyperlink" Target="https://pubmed.ncbi.nlm.nih.gov/20335276/" TargetMode="External"/><Relationship Id="rId62" Type="http://schemas.openxmlformats.org/officeDocument/2006/relationships/hyperlink" Target="https://pubmed.ncbi.nlm.nih.gov/24270849/" TargetMode="External"/><Relationship Id="rId63" Type="http://schemas.openxmlformats.org/officeDocument/2006/relationships/hyperlink" Target="https://doi.org/10.1038/nbt.2749" TargetMode="External"/><Relationship Id="rId64" Type="http://schemas.openxmlformats.org/officeDocument/2006/relationships/hyperlink" Target="https://doi.org/10.1038/nrg2999" TargetMode="External"/><Relationship Id="rId65" Type="http://schemas.openxmlformats.org/officeDocument/2006/relationships/hyperlink" Target="https://pmc.ncbi.nlm.nih.gov/articles/PMC4416392/" TargetMode="External"/><Relationship Id="rId66" Type="http://schemas.openxmlformats.org/officeDocument/2006/relationships/hyperlink" Target="https://doi.org/10.1186/s13073-015-0166-y" TargetMode="External"/><Relationship Id="rId67" Type="http://schemas.openxmlformats.org/officeDocument/2006/relationships/hyperlink" Target="https://doi.org/10.1007/s11192-009-0146-3" TargetMode="External"/><Relationship Id="rId68" Type="http://schemas.openxmlformats.org/officeDocument/2006/relationships/hyperlink" Target="https://doi.org/10.1002/asi.21419" TargetMode="External"/><Relationship Id="rId69" Type="http://schemas.openxmlformats.org/officeDocument/2006/relationships/hyperlink" Target="https://www.jmlr.org/papers/v3/blei03a.html" TargetMode="External"/><Relationship Id="rId70" Type="http://schemas.openxmlformats.org/officeDocument/2006/relationships/hyperlink" Target="https://pubmed.ncbi.nlm.nih.gov/25826379/" TargetMode="External"/><Relationship Id="rId71" Type="http://schemas.openxmlformats.org/officeDocument/2006/relationships/hyperlink" Target="https://doi.org/10.1038/s41586-018-0579-z" TargetMode="External"/><Relationship Id="rId72" Type="http://schemas.openxmlformats.org/officeDocument/2006/relationships/hyperlink" Target="https://pubmed.ncbi.nlm.nih.gov/26441289/" TargetMode="External"/><Relationship Id="rId73" Type="http://schemas.openxmlformats.org/officeDocument/2006/relationships/hyperlink" Target="https://pubmed.ncbi.nlm.nih.gov/36653562/" TargetMode="External"/><Relationship Id="rId74" Type="http://schemas.openxmlformats.org/officeDocument/2006/relationships/hyperlink" Target="https://pubmed.ncbi.nlm.nih.gov/22158673/" TargetMode="External"/><Relationship Id="rId75" Type="http://schemas.openxmlformats.org/officeDocument/2006/relationships/hyperlink" Target="https://doi.org/10.1038/s41586-021-04103-z" TargetMode="External"/><Relationship Id="rId76" Type="http://schemas.openxmlformats.org/officeDocument/2006/relationships/hyperlink" Target="https://pubmed.ncbi.nlm.nih.gov/35859178/" TargetMode="External"/><Relationship Id="rId77" Type="http://schemas.openxmlformats.org/officeDocument/2006/relationships/hyperlink" Target="https://doi.org/10.1038/s41586-022-04965-x" TargetMode="External"/><Relationship Id="rId78" Type="http://schemas.openxmlformats.org/officeDocument/2006/relationships/hyperlink" Target="https://doi.org/10.1126/science.adj1182" TargetMode="External"/><Relationship Id="rId79" Type="http://schemas.openxmlformats.org/officeDocument/2006/relationships/hyperlink" Target="https://pmc.ncbi.nlm.nih.gov/articles/PMC6785182/" TargetMode="External"/><Relationship Id="rId80" Type="http://schemas.openxmlformats.org/officeDocument/2006/relationships/hyperlink" Target="https://doi.org/10.1038/s41586-019-1310-4" TargetMode="External"/><Relationship Id="rId81" Type="http://schemas.openxmlformats.org/officeDocument/2006/relationships/hyperlink" Target="https://pmc.ncbi.nlm.nih.gov/articles/PMC9903716/" TargetMode="External"/><Relationship Id="rId82" Type="http://schemas.openxmlformats.org/officeDocument/2006/relationships/hyperlink" Target="https://doi.org/10.1016/j.xgen.2022.100192" TargetMode="External"/><Relationship Id="rId83" Type="http://schemas.openxmlformats.org/officeDocument/2006/relationships/hyperlink" Target="https://pubmed.ncbi.nlm.nih.gov/30901543/" TargetMode="External"/><Relationship Id="rId84" Type="http://schemas.openxmlformats.org/officeDocument/2006/relationships/hyperlink" Target="https://doi.org/10.1038/538161a" TargetMode="External"/><Relationship Id="rId85" Type="http://schemas.openxmlformats.org/officeDocument/2006/relationships/hyperlink" Target="https://pubmed.ncbi.nlm.nih.gov/28641372/" TargetMode="External"/><Relationship Id="rId86" Type="http://schemas.openxmlformats.org/officeDocument/2006/relationships/hyperlink" Target="https://doi.org/10.1038/s42003-018-0261-x" TargetMode="External"/><Relationship Id="rId87" Type="http://schemas.openxmlformats.org/officeDocument/2006/relationships/hyperlink" Target="https://pubmed.ncbi.nlm.nih.gov/37045921/" TargetMode="External"/><Relationship Id="rId88" Type="http://schemas.openxmlformats.org/officeDocument/2006/relationships/hyperlink" Target="https://pubmed.ncbi.nlm.nih.gov/37438534/" TargetMode="External"/><Relationship Id="rId89" Type="http://schemas.openxmlformats.org/officeDocument/2006/relationships/hyperlink" Target="https://arxiv.org/abs/2303.13375" TargetMode="External"/><Relationship Id="rId90" Type="http://schemas.openxmlformats.org/officeDocument/2006/relationships/hyperlink" Target="https://doi.org/10.48550/arXiv.2303.13375" TargetMode="External"/><Relationship Id="rId91" Type="http://schemas.openxmlformats.org/officeDocument/2006/relationships/hyperlink" Target="https://doi.org/10.1371/journal.pdig.0000198" TargetMode="External"/><Relationship Id="rId92" Type="http://schemas.openxmlformats.org/officeDocument/2006/relationships/hyperlink" Target="https://doi.org/10.1038/s41586-025-08866-7" TargetMode="External"/><Relationship Id="rId93" Type="http://schemas.openxmlformats.org/officeDocument/2006/relationships/hyperlink" Target="https://www.nature.com/articles/s41746-024-01083-y" TargetMode="External"/><Relationship Id="rId94" Type="http://schemas.openxmlformats.org/officeDocument/2006/relationships/hyperlink" Target="https://doi.org/10.1038/s41746-024-01083-y" TargetMode="External"/><Relationship Id="rId95" Type="http://schemas.openxmlformats.org/officeDocument/2006/relationships/hyperlink" Target="https://pmc.ncbi.nlm.nih.gov/articles/PMC11025658" TargetMode="External"/><Relationship Id="rId96" Type="http://schemas.openxmlformats.org/officeDocument/2006/relationships/hyperlink" Target="https://doi.org/10.1093/bioinformatics/btab083" TargetMode="External"/><Relationship Id="rId97" Type="http://schemas.openxmlformats.org/officeDocument/2006/relationships/hyperlink" Target="https://doi.org/10.1101/2025.02.18.638918" TargetMode="External"/><Relationship Id="rId98" Type="http://schemas.openxmlformats.org/officeDocument/2006/relationships/hyperlink" Target="https://pubmed.ncbi.nlm.nih.gov/34663944/" TargetMode="External"/><Relationship Id="rId99" Type="http://schemas.openxmlformats.org/officeDocument/2006/relationships/hyperlink" Target="https://doi.org/10.1038/s41568-021-00408-3" TargetMode="External"/><Relationship Id="rId100" Type="http://schemas.openxmlformats.org/officeDocument/2006/relationships/hyperlink" Target="https://pubmed.ncbi.nlm.nih.gov/38324483/" TargetMode="External"/><Relationship Id="rId101" Type="http://schemas.openxmlformats.org/officeDocument/2006/relationships/hyperlink" Target="https://doi.org/10.1056/NEJMoa2309000" TargetMode="External"/><Relationship Id="rId102" Type="http://schemas.openxmlformats.org/officeDocument/2006/relationships/hyperlink" Target="https://pubmed.ncbi.nlm.nih.gov/26994063/" TargetMode="External"/><Relationship Id="rId103" Type="http://schemas.openxmlformats.org/officeDocument/2006/relationships/hyperlink" Target="https://doi.org/10.1056/NEJMp2407586" TargetMode="External"/><Relationship Id="rId104" Type="http://schemas.openxmlformats.org/officeDocument/2006/relationships/hyperlink" Target="https://pubmed.ncbi.nlm.nih.gov/34265844/" TargetMode="External"/><Relationship Id="rId105" Type="http://schemas.openxmlformats.org/officeDocument/2006/relationships/hyperlink" Target="https://pmc.ncbi.nlm.nih.gov/articles/PMC11168924" TargetMode="External"/><Relationship Id="rId106" Type="http://schemas.openxmlformats.org/officeDocument/2006/relationships/hyperlink" Target="https://doi.org/10.1038/s41586-024-07487-w" TargetMode="External"/><Relationship Id="rId107" Type="http://schemas.openxmlformats.org/officeDocument/2006/relationships/hyperlink" Target="https://pubmed.ncbi.nlm.nih.gov/33408395/" TargetMode="External"/><Relationship Id="rId108" Type="http://schemas.openxmlformats.org/officeDocument/2006/relationships/hyperlink" Target="https://doi.org/10.1038/s41592-020-01033-y" TargetMode="External"/><Relationship Id="rId109" Type="http://schemas.openxmlformats.org/officeDocument/2006/relationships/hyperlink" Target="https://doi.org/10.7554/eLife.27041" TargetMode="External"/><Relationship Id="rId110" Type="http://schemas.openxmlformats.org/officeDocument/2006/relationships/hyperlink" Target="https://pubmed.ncbi.nlm.nih.gov/35549404/" TargetMode="External"/><Relationship Id="rId111" Type="http://schemas.openxmlformats.org/officeDocument/2006/relationships/hyperlink" Target="https://doi.org/10.1126/science.abl4896" TargetMode="External"/><Relationship Id="rId112" Type="http://schemas.openxmlformats.org/officeDocument/2006/relationships/hyperlink" Target="https://doi.org/10.1111/cts.12591" TargetMode="External"/><Relationship Id="rId113" Type="http://schemas.openxmlformats.org/officeDocument/2006/relationships/hyperlink" Target="https://academic.oup.com/aje/article/195/7/1962/8426105" TargetMode="External"/><Relationship Id="rId114" Type="http://schemas.openxmlformats.org/officeDocument/2006/relationships/hyperlink" Target="https://journals.sagepub.com/doi/10.1177/15409996261434111" TargetMode="External"/><Relationship Id="rId115" Type="http://schemas.openxmlformats.org/officeDocument/2006/relationships/hyperlink" Target="citations_clusterC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