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Manuscript outline - All of Us scientific roadmap refresh</w:t>
      </w:r>
    </w:p>
    <w:p>
      <w:r>
        <w:rPr>
          <w:b/>
          <w:sz w:val="21"/>
        </w:rPr>
        <w:t>Working title:</w:t>
      </w:r>
      <w:r>
        <w:rPr>
          <w:sz w:val="21"/>
        </w:rPr>
        <w:t xml:space="preserve"> "Where a diverse national cohort should go next: a data-driven</w:t>
      </w:r>
    </w:p>
    <w:p>
      <w:r>
        <w:rPr>
          <w:sz w:val="21"/>
        </w:rPr>
        <w:t>refresh of the *All of Us* scientific roadmap"</w:t>
      </w:r>
    </w:p>
    <w:p>
      <w:r>
        <w:rPr>
          <w:b/>
          <w:sz w:val="21"/>
        </w:rPr>
        <w:t>Type:</w:t>
      </w:r>
      <w:r>
        <w:rPr>
          <w:sz w:val="21"/>
        </w:rPr>
        <w:t xml:space="preserve"> Narrative / data-driven *perspective* (analysis-backed), not a systematic review.</w:t>
      </w:r>
    </w:p>
    <w:p>
      <w:r>
        <w:rPr>
          <w:b/>
          <w:sz w:val="21"/>
        </w:rPr>
        <w:t>Audience:</w:t>
      </w:r>
      <w:r>
        <w:rPr>
          <w:sz w:val="21"/>
        </w:rPr>
        <w:t xml:space="preserve"> *All of Us* Science Committee, program leadership, NIH, the biobank/informatics community.</w:t>
      </w:r>
    </w:p>
    <w:p>
      <w:r>
        <w:rPr>
          <w:b/>
          <w:sz w:val="21"/>
        </w:rPr>
        <w:t>Evidence base:</w:t>
      </w:r>
      <w:r>
        <w:rPr>
          <w:sz w:val="21"/>
        </w:rPr>
        <w:t xml:space="preserve"> this repository (corpus of 1,657 AoU publications + 32,922 workspaces (20,165 substantive); full-census peer-biobank comparison; preprint+grant horizon scan; Researcher Workbench capability benchmark). Numbers cited in the manuscript should be pulled from the refreshed deliverables.</w:t>
      </w:r>
    </w:p>
    <w:p>
      <w:r>
        <w:rPr>
          <w:b/>
          <w:sz w:val="21"/>
        </w:rPr>
        <w:t>Scope defaults (confirm/adjust):</w:t>
      </w:r>
      <w:r>
        <w:rPr>
          <w:sz w:val="21"/>
        </w:rPr>
        <w:t xml:space="preserve"> narrative perspective; gray literature (preprints, vendor/standards/policy docs) allowed and tagged distinctly; author-group anchors (M. Haendel: N3C, Monarch Initiative, OMOP/OHDSI, phenotype ontologies) to be byline-verified.</w:t>
      </w:r>
    </w:p>
    <w:p>
      <w:r>
        <w:rPr>
          <w:b/>
          <w:sz w:val="21"/>
        </w:rPr>
        <w:t>Citations:</w:t>
      </w:r>
      <w:r>
        <w:rPr>
          <w:sz w:val="21"/>
        </w:rPr>
        <w:t xml:space="preserve"> key verified citations are embedded inline per section below (as </w:t>
      </w:r>
      <w:r>
        <w:rPr>
          <w:b/>
          <w:sz w:val="21"/>
        </w:rPr>
        <w:t>Key citations:</w:t>
      </w:r>
      <w:r>
        <w:rPr>
          <w:sz w:val="21"/>
        </w:rPr>
        <w:t xml:space="preserve"> lines with DOI links); the full verified reference list with DOIs follows in the References section at the end of this document. Spot-check every DOI on import.</w:t>
      </w:r>
    </w:p>
    <w:p>
      <w:pPr>
        <w:pStyle w:val="Heading1"/>
      </w:pPr>
      <w:r>
        <w:t>0. Abstract / key points</w:t>
      </w:r>
    </w:p>
    <w:p>
      <w:pPr>
        <w:pStyle w:val="ListBullet"/>
      </w:pPr>
      <w:r>
        <w:rPr>
          <w:sz w:val="21"/>
        </w:rPr>
        <w:t>The corpus shows where AoU science concentrates and where it is absent.</w:t>
      </w:r>
    </w:p>
    <w:p>
      <w:pPr>
        <w:pStyle w:val="ListBullet"/>
      </w:pPr>
      <w:r>
        <w:rPr>
          <w:sz w:val="21"/>
        </w:rPr>
        <w:t>AoU's distinctive strengths (diversity, SDOH, ELSI/engagement) vs gaps (multi-omics, imaging, rare disease).</w:t>
      </w:r>
    </w:p>
    <w:p>
      <w:pPr>
        <w:pStyle w:val="ListBullet"/>
      </w:pPr>
      <w:r>
        <w:rPr>
          <w:sz w:val="21"/>
        </w:rPr>
        <w:t>The field's leading edge (AI/foundation models) is largely unrealized in AoU.</w:t>
      </w:r>
    </w:p>
    <w:p>
      <w:pPr>
        <w:pStyle w:val="ListBullet"/>
      </w:pPr>
      <w:r>
        <w:rPr>
          <w:sz w:val="21"/>
        </w:rPr>
        <w:t>Ancillary (partnered) studies add new modalities and are the program's leading edge - visible in workspaces a year+ before any publication (e.g. Exploring the Mind: 0 papers, 32 workspaces).</w:t>
      </w:r>
    </w:p>
    <w:p>
      <w:pPr>
        <w:pStyle w:val="ListBullet"/>
      </w:pPr>
      <w:r>
        <w:rPr>
          <w:sz w:val="21"/>
        </w:rPr>
        <w:t>Platform (Researcher Workbench) gaps constrain reuse, collaboration, and in-environment AI - a conclusion independently corroborated by a 2026 ACT-IAC/AoU AI/ML white paper.</w:t>
      </w:r>
    </w:p>
    <w:p>
      <w:pPr>
        <w:pStyle w:val="ListBullet"/>
      </w:pPr>
      <w:r>
        <w:rPr>
          <w:sz w:val="21"/>
        </w:rPr>
        <w:t>A refreshed roadmap: a Data/AI/Methods focus area, governed in-environment AI, reusable tooling.</w:t>
      </w:r>
    </w:p>
    <w:p>
      <w:pPr>
        <w:pStyle w:val="Heading1"/>
      </w:pPr>
      <w:r>
        <w:t>1. Introduction - why refresh the roadmap now</w:t>
      </w:r>
    </w:p>
    <w:p>
      <w:r>
        <w:rPr>
          <w:sz w:val="21"/>
        </w:rPr>
        <w:t>1.1 The Precision Medicine Initiative and the founding of *All of Us*; its diversity mandate.</w:t>
      </w:r>
    </w:p>
    <w:p>
      <w:r>
        <w:rPr>
          <w:sz w:val="21"/>
        </w:rPr>
        <w:t>1.2 What a scientific roadmap is for; the 2020 roadmap and its 8 priority focus areas.</w:t>
      </w:r>
    </w:p>
    <w:p>
      <w:r>
        <w:rPr>
          <w:sz w:val="21"/>
        </w:rPr>
        <w:t>1.3 Why a 2026 refresh: corpus maturity, a shifting scientific frontier (AI), peer-cohort competition.</w:t>
      </w:r>
    </w:p>
    <w:p>
      <w:r>
        <w:rPr>
          <w:sz w:val="21"/>
        </w:rPr>
        <w:t>1.4 Contribution: an evidence-driven refresh from the program's own output + the external field.</w:t>
      </w:r>
    </w:p>
    <w:p>
      <w:r>
        <w:rPr>
          <w:b/>
          <w:sz w:val="21"/>
        </w:rPr>
        <w:t>Key citations:</w:t>
      </w:r>
      <w:r>
        <w:rPr>
          <w:sz w:val="21"/>
        </w:rPr>
        <w:t xml:space="preserve"> </w:t>
      </w:r>
      <w:hyperlink r:id="rId9">
        <w:r>
          <w:rPr>
            <w:color w:val="1155CC"/>
            <w:u w:val="single"/>
            <w:sz w:val="20"/>
          </w:rPr>
          <w:t xml:space="preserve">Collins &amp; Varmus, NEJM 2015</w:t>
        </w:r>
      </w:hyperlink>
      <w:r>
        <w:rPr>
          <w:sz w:val="21"/>
        </w:rPr>
        <w:t xml:space="preserve">; </w:t>
      </w:r>
      <w:hyperlink r:id="rId10">
        <w:r>
          <w:rPr>
            <w:color w:val="1155CC"/>
            <w:u w:val="single"/>
            <w:sz w:val="20"/>
          </w:rPr>
          <w:t xml:space="preserve">PMI Working Group report, NIH 2015</w:t>
        </w:r>
      </w:hyperlink>
      <w:r>
        <w:rPr>
          <w:sz w:val="21"/>
        </w:rPr>
        <w:t xml:space="preserve">; </w:t>
      </w:r>
      <w:hyperlink r:id="rId11">
        <w:r>
          <w:rPr>
            <w:color w:val="1155CC"/>
            <w:u w:val="single"/>
            <w:sz w:val="20"/>
          </w:rPr>
          <w:t xml:space="preserve">All of Us Program, NEJM 2019</w:t>
        </w:r>
      </w:hyperlink>
      <w:r>
        <w:rPr>
          <w:sz w:val="21"/>
        </w:rPr>
        <w:t xml:space="preserve">; </w:t>
      </w:r>
      <w:hyperlink r:id="rId12">
        <w:r>
          <w:rPr>
            <w:color w:val="1155CC"/>
            <w:u w:val="single"/>
            <w:sz w:val="20"/>
          </w:rPr>
          <w:t xml:space="preserve">Mapes et al., PLoS ONE 2020</w:t>
        </w:r>
      </w:hyperlink>
      <w:r>
        <w:rPr>
          <w:sz w:val="21"/>
        </w:rPr>
        <w:t xml:space="preserve">; </w:t>
      </w:r>
      <w:hyperlink r:id="rId13">
        <w:r>
          <w:rPr>
            <w:color w:val="1155CC"/>
            <w:u w:val="single"/>
            <w:sz w:val="20"/>
          </w:rPr>
          <w:t xml:space="preserve">Denny &amp; Collins, Cell 2021</w:t>
        </w:r>
      </w:hyperlink>
      <w:r>
        <w:rPr>
          <w:sz w:val="21"/>
        </w:rPr>
        <w:t>.</w:t>
      </w:r>
    </w:p>
    <w:p>
      <w:pPr>
        <w:pStyle w:val="Heading1"/>
      </w:pPr>
      <w:r>
        <w:t>2. The All of Us research landscape</w:t>
      </w:r>
    </w:p>
    <w:p>
      <w:pPr>
        <w:pStyle w:val="Heading2"/>
      </w:pPr>
      <w:r>
        <w:t>2.1 Data and methods</w:t>
      </w:r>
    </w:p>
    <w:p>
      <w:r>
        <w:rPr>
          <w:sz w:val="21"/>
        </w:rPr>
        <w:t>A reproducible, five-step Python pipeline (public repository); every figure traces to a script and a data file.</w:t>
      </w:r>
    </w:p>
    <w:p>
      <w:pPr>
        <w:pStyle w:val="ListNumber"/>
      </w:pPr>
      <w:r>
        <w:rPr>
          <w:b/>
          <w:sz w:val="21"/>
        </w:rPr>
        <w:t>Corpus acquisition.</w:t>
      </w:r>
      <w:r>
        <w:rPr>
          <w:sz w:val="21"/>
        </w:rPr>
        <w:t xml:space="preserve"> AoU publications pulled live from the program's publications feed (reconciled to PubMed/iCite) - </w:t>
      </w:r>
      <w:r>
        <w:rPr>
          <w:b/>
          <w:sz w:val="21"/>
        </w:rPr>
        <w:t>1,657 records (1,653 substantive)</w:t>
      </w:r>
      <w:r>
        <w:rPr>
          <w:sz w:val="21"/>
        </w:rPr>
        <w:t xml:space="preserve">; workspace projects pulled </w:t>
      </w:r>
      <w:r>
        <w:rPr>
          <w:b/>
          <w:sz w:val="21"/>
        </w:rPr>
        <w:t>live from the production project-directory API</w:t>
      </w:r>
      <w:r>
        <w:rPr>
          <w:sz w:val="21"/>
        </w:rPr>
        <w:t xml:space="preserve"> (32,922 workspaces; </w:t>
      </w:r>
      <w:r>
        <w:rPr>
          <w:b/>
          <w:sz w:val="21"/>
        </w:rPr>
        <w:t>20,165 substantive</w:t>
      </w:r>
      <w:r>
        <w:rPr>
          <w:sz w:val="21"/>
        </w:rPr>
        <w:t xml:space="preserve"> after dropping educational/training/stub/duplicate records; live pull 2026-10-14, re-verified 2026-10-21). Full text back-filled from Europe PMC JATS where a PMC id exists.</w:t>
      </w:r>
    </w:p>
    <w:p>
      <w:pPr>
        <w:pStyle w:val="ListNumber"/>
      </w:pPr>
      <w:r>
        <w:rPr>
          <w:b/>
          <w:sz w:val="21"/>
        </w:rPr>
        <w:t>Theme tagging.</w:t>
      </w:r>
      <w:r>
        <w:rPr>
          <w:sz w:val="21"/>
        </w:rPr>
        <w:t xml:space="preserve"> A locked </w:t>
      </w:r>
      <w:r>
        <w:rPr>
          <w:b/>
          <w:sz w:val="21"/>
        </w:rPr>
        <w:t>19-theme taxonomy</w:t>
      </w:r>
      <w:r>
        <w:rPr>
          <w:sz w:val="21"/>
        </w:rPr>
        <w:t xml:space="preserve"> applied by keyword rules over </w:t>
      </w:r>
      <w:r>
        <w:rPr>
          <w:b/>
          <w:sz w:val="21"/>
        </w:rPr>
        <w:t>title + abstract</w:t>
      </w:r>
      <w:r>
        <w:rPr>
          <w:sz w:val="21"/>
        </w:rPr>
        <w:t xml:space="preserve"> (canonical, year-comparable) and a </w:t>
      </w:r>
      <w:r>
        <w:rPr>
          <w:b/>
          <w:sz w:val="21"/>
        </w:rPr>
        <w:t>full-text-augmented</w:t>
      </w:r>
      <w:r>
        <w:rPr>
          <w:sz w:val="21"/>
        </w:rPr>
        <w:t xml:space="preserve"> layer; AoU data are OMOP-standardized. Mean 2.1 themes/pub (abstract) vs 3.4 (full text).</w:t>
      </w:r>
    </w:p>
    <w:p>
      <w:pPr>
        <w:pStyle w:val="ListNumber"/>
      </w:pPr>
      <w:r>
        <w:rPr>
          <w:b/>
          <w:sz w:val="21"/>
        </w:rPr>
        <w:t>IC attribution.</w:t>
      </w:r>
      <w:r>
        <w:rPr>
          <w:sz w:val="21"/>
        </w:rPr>
        <w:t xml:space="preserve"> NIH grant IDs parsed from publication grant strings and resolved to administering + co-funding ICs via </w:t>
      </w:r>
      <w:r>
        <w:rPr>
          <w:b/>
          <w:sz w:val="21"/>
        </w:rPr>
        <w:t>NIH RePORTER</w:t>
      </w:r>
      <w:r>
        <w:rPr>
          <w:sz w:val="21"/>
        </w:rPr>
        <w:t xml:space="preserve">; mapped against </w:t>
      </w:r>
      <w:r>
        <w:rPr>
          <w:b/>
          <w:sz w:val="21"/>
        </w:rPr>
        <w:t>166 priority statements</w:t>
      </w:r>
      <w:r>
        <w:rPr>
          <w:sz w:val="21"/>
        </w:rPr>
        <w:t xml:space="preserve"> extracted from </w:t>
      </w:r>
      <w:r>
        <w:rPr>
          <w:b/>
          <w:sz w:val="21"/>
        </w:rPr>
        <w:t>29 NIH strategic plans</w:t>
      </w:r>
      <w:r>
        <w:rPr>
          <w:sz w:val="21"/>
        </w:rPr>
        <w:t xml:space="preserve"> → a corpus × IC alignment matrix.</w:t>
      </w:r>
    </w:p>
    <w:p>
      <w:pPr>
        <w:pStyle w:val="ListNumber"/>
      </w:pPr>
      <w:r>
        <w:rPr>
          <w:b/>
          <w:sz w:val="21"/>
        </w:rPr>
        <w:t>Peer benchmarking.</w:t>
      </w:r>
      <w:r>
        <w:rPr>
          <w:sz w:val="21"/>
        </w:rPr>
        <w:t xml:space="preserve"> Four peer biobanks (UK Biobank, FinnGen, MVP, China Kadoorie) pulled by </w:t>
      </w:r>
      <w:r>
        <w:rPr>
          <w:b/>
          <w:sz w:val="21"/>
        </w:rPr>
        <w:t>full-census PubMed name-search</w:t>
      </w:r>
      <w:r>
        <w:rPr>
          <w:sz w:val="21"/>
        </w:rPr>
        <w:t xml:space="preserve"> and tagged with the </w:t>
      </w:r>
      <w:r>
        <w:rPr>
          <w:b/>
          <w:sz w:val="21"/>
        </w:rPr>
        <w:t>same tagger</w:t>
      </w:r>
      <w:r>
        <w:rPr>
          <w:sz w:val="21"/>
        </w:rPr>
        <w:t xml:space="preserve"> → a static theme-share index (AoU vs peer median).</w:t>
      </w:r>
    </w:p>
    <w:p>
      <w:pPr>
        <w:pStyle w:val="ListNumber"/>
      </w:pPr>
      <w:r>
        <w:rPr>
          <w:b/>
          <w:sz w:val="21"/>
        </w:rPr>
        <w:t>Horizon scan + platform benchmark + scoring.</w:t>
      </w:r>
      <w:r>
        <w:rPr>
          <w:sz w:val="21"/>
        </w:rPr>
        <w:t xml:space="preserve"> Open-discovery </w:t>
      </w:r>
      <w:r>
        <w:rPr>
          <w:b/>
          <w:sz w:val="21"/>
        </w:rPr>
        <w:t>term-acceleration</w:t>
      </w:r>
      <w:r>
        <w:rPr>
          <w:sz w:val="21"/>
        </w:rPr>
        <w:t xml:space="preserve"> over </w:t>
      </w:r>
      <w:r>
        <w:rPr>
          <w:b/>
          <w:sz w:val="21"/>
        </w:rPr>
        <w:t>322,138 preprints + 460,285 NIH grants</w:t>
      </w:r>
      <w:r>
        <w:rPr>
          <w:sz w:val="21"/>
        </w:rPr>
        <w:t xml:space="preserve"> (2021–26) with LLM topic induction and an AoU data-feasibility overlay; the Researcher Workbench benchmarked against five comparator platforms with </w:t>
      </w:r>
      <w:r>
        <w:rPr>
          <w:b/>
          <w:sz w:val="21"/>
        </w:rPr>
        <w:t>87/87 fetch-verified citations</w:t>
      </w:r>
      <w:r>
        <w:rPr>
          <w:sz w:val="21"/>
        </w:rPr>
        <w:t xml:space="preserve">; candidate recommendations scored on an 8-criterion rubric. </w:t>
      </w:r>
      <w:r>
        <w:rPr>
          <w:b/>
          <w:sz w:val="21"/>
        </w:rPr>
        <w:t>Caveats:</w:t>
      </w:r>
      <w:r>
        <w:rPr>
          <w:sz w:val="21"/>
        </w:rPr>
        <w:t xml:space="preserve"> keyword tagging is directional; peer corpora are unaudited (use the static share index, not trend differentials); workspace text is self-described intent; grant/IC coverage ~30%.</w:t>
      </w:r>
    </w:p>
    <w:p>
      <w:r>
        <w:rPr>
          <w:sz w:val="21"/>
        </w:rPr>
        <w:t>2.2 What AoU science is about: theme distribution; the 8 focus areas largely hold.</w:t>
      </w:r>
    </w:p>
    <w:p>
      <w:r>
        <w:rPr>
          <w:sz w:val="21"/>
        </w:rPr>
        <w:t>2.3 Three structural gaps in the framework: a data-science/AI/methods "orphan," wearables, multi-omics.</w:t>
      </w:r>
    </w:p>
    <w:p>
      <w:r>
        <w:rPr>
          <w:sz w:val="21"/>
        </w:rPr>
        <w:t>2.4 Funding attribution (NIH IC landscape) and the pan-NIH infrastructure framing.</w:t>
      </w:r>
    </w:p>
    <w:p>
      <w:r>
        <w:rPr>
          <w:sz w:val="21"/>
        </w:rPr>
        <w:t xml:space="preserve">2.5 Ancillary (partnered) studies as the leading edge: new modalities on top of the core protocol - Exploring the Mind (objective cognition/behavior, NIMH), Eyes on Health (retinal imaging/oculomics, NEI/NIBIB), Nutrition for Precision Health (individualized diet response, Common Fund), Environmental Health &amp; Exposomics (NIEHS). Several post-date the 2020 roadmap and are only now releasing data, so they are near-absent from the publication record. The methodological point: </w:t>
      </w:r>
      <w:r>
        <w:rPr>
          <w:b/>
          <w:sz w:val="21"/>
        </w:rPr>
        <w:t>workspace activity leads publications by a year or more</w:t>
      </w:r>
      <w:r>
        <w:rPr>
          <w:sz w:val="21"/>
        </w:rPr>
        <w:t xml:space="preserve"> - Exploring the Mind has 0 publications/preprints anywhere (verified via Europe PMC) yet 32 workspaces (27 newly visible in the 2026-10-14 live pull), which is why a live workspace census, not a cached snapshot, is essential and why these studies must be scored on goals + workspace intent. Related live program activity: the Multi-Omics Working Group is generating RNA-seq + Olink proteomics + PacBio long-read on ~10,000 diverse participants (scaling toward ~50,000), and the program has publicly posted a mechanism for external (academic/nonprofit/industry) investigators to request biospecimens to generate new data types - both surfaced in the 2026 committee series.</w:t>
      </w:r>
    </w:p>
    <w:p>
      <w:r>
        <w:rPr>
          <w:b/>
          <w:sz w:val="21"/>
        </w:rPr>
        <w:t>Key citations:</w:t>
      </w:r>
      <w:r>
        <w:rPr>
          <w:sz w:val="21"/>
        </w:rPr>
        <w:t xml:space="preserve"> </w:t>
      </w:r>
      <w:hyperlink r:id="rId14">
        <w:r>
          <w:rPr>
            <w:color w:val="1155CC"/>
            <w:u w:val="single"/>
            <w:sz w:val="20"/>
          </w:rPr>
          <w:t xml:space="preserve">All of Us Genomic Data, Nature 2024</w:t>
        </w:r>
      </w:hyperlink>
      <w:r>
        <w:rPr>
          <w:sz w:val="21"/>
        </w:rPr>
        <w:t xml:space="preserve">; </w:t>
      </w:r>
      <w:hyperlink r:id="rId15">
        <w:r>
          <w:rPr>
            <w:color w:val="1155CC"/>
            <w:u w:val="single"/>
            <w:sz w:val="20"/>
          </w:rPr>
          <w:t xml:space="preserve">Ramirez et al., Patterns 2022</w:t>
        </w:r>
      </w:hyperlink>
      <w:r>
        <w:rPr>
          <w:sz w:val="21"/>
        </w:rPr>
        <w:t xml:space="preserve">; </w:t>
      </w:r>
      <w:hyperlink r:id="rId16">
        <w:r>
          <w:rPr>
            <w:color w:val="1155CC"/>
            <w:u w:val="single"/>
            <w:sz w:val="20"/>
          </w:rPr>
          <w:t xml:space="preserve">Lederer et al. (Fitbit), JMIR 2023</w:t>
        </w:r>
      </w:hyperlink>
      <w:r>
        <w:rPr>
          <w:sz w:val="21"/>
        </w:rPr>
        <w:t xml:space="preserve">; </w:t>
      </w:r>
      <w:hyperlink r:id="rId17">
        <w:r>
          <w:rPr>
            <w:color w:val="1155CC"/>
            <w:u w:val="single"/>
            <w:sz w:val="20"/>
          </w:rPr>
          <w:t xml:space="preserve">Overhage et al. (OMOP CDM), JAMIA 2012</w:t>
        </w:r>
      </w:hyperlink>
      <w:r>
        <w:rPr>
          <w:sz w:val="21"/>
        </w:rPr>
        <w:t xml:space="preserve">; </w:t>
      </w:r>
      <w:hyperlink r:id="rId18">
        <w:r>
          <w:rPr>
            <w:color w:val="1155CC"/>
            <w:u w:val="single"/>
            <w:sz w:val="20"/>
          </w:rPr>
          <w:t xml:space="preserve">Denny et al. (PheWAS), Bioinformatics 2010</w:t>
        </w:r>
      </w:hyperlink>
      <w:r>
        <w:rPr>
          <w:sz w:val="21"/>
        </w:rPr>
        <w:t xml:space="preserve">. Ancillary studies: </w:t>
      </w:r>
      <w:hyperlink r:id="rId19">
        <w:r>
          <w:rPr>
            <w:color w:val="1155CC"/>
            <w:u w:val="single"/>
            <w:sz w:val="20"/>
          </w:rPr>
          <w:t xml:space="preserve">NIH Partnered Research Studies</w:t>
        </w:r>
      </w:hyperlink>
      <w:r>
        <w:rPr>
          <w:sz w:val="21"/>
        </w:rPr>
        <w:t xml:space="preserve">; </w:t>
      </w:r>
      <w:hyperlink r:id="rId20">
        <w:r>
          <w:rPr>
            <w:color w:val="1155CC"/>
            <w:u w:val="single"/>
            <w:sz w:val="20"/>
          </w:rPr>
          <w:t xml:space="preserve">Cohn et al. (Women's Health Driver Project), J Women's Health 2026</w:t>
        </w:r>
      </w:hyperlink>
      <w:r>
        <w:rPr>
          <w:sz w:val="21"/>
        </w:rPr>
        <w:t>.</w:t>
      </w:r>
    </w:p>
    <w:p>
      <w:pPr>
        <w:pStyle w:val="Heading1"/>
      </w:pPr>
      <w:r>
        <w:t>3. Benchmarking against peer biobanks</w:t>
      </w:r>
    </w:p>
    <w:p>
      <w:r>
        <w:rPr>
          <w:sz w:val="21"/>
        </w:rPr>
        <w:t>3.1 The comparator set and method (full-census name-search; same-tagger).</w:t>
      </w:r>
    </w:p>
    <w:p>
      <w:r>
        <w:rPr>
          <w:sz w:val="21"/>
        </w:rPr>
        <w:t>3.2 AoU's distinctive identity: SDOH/health equity, ELSI/participant engagement, pharmacogenomics, methods - enabled by its diversity.</w:t>
      </w:r>
    </w:p>
    <w:p>
      <w:r>
        <w:rPr>
          <w:sz w:val="21"/>
        </w:rPr>
        <w:t>3.3 Where AoU trails: the five most under-indexed theme areas vs the peer median - rare disease &amp; Mendelian genetics (0.25×), environmental health (0.35×), genomics methods/complex-trait genetics (0.42×), neurology non-ADRD (0.46×), respiratory &amp; sleep (0.53×) - plus the data-modality gaps in multi-omics and imaging. Distinguish genuine addressable gaps (rare disease, environmental health - the latter already being closed by the Exposomics ancillary study) from by-design peer dominance (FinnGen rare-disease/genetics; CKB neurology).</w:t>
      </w:r>
    </w:p>
    <w:p>
      <w:r>
        <w:rPr>
          <w:sz w:val="21"/>
        </w:rPr>
        <w:t>3.4 Interpretation: distinctiveness vs growth; relative-emphasis vs data-availability vs researcher-base gaps; peer shares inflated by each cohort's recruitment design.</w:t>
      </w:r>
    </w:p>
    <w:p>
      <w:r>
        <w:rPr>
          <w:b/>
          <w:sz w:val="21"/>
        </w:rPr>
        <w:t>Key citations:</w:t>
      </w:r>
      <w:r>
        <w:rPr>
          <w:sz w:val="21"/>
        </w:rPr>
        <w:t xml:space="preserve"> </w:t>
      </w:r>
      <w:hyperlink r:id="rId21">
        <w:r>
          <w:rPr>
            <w:color w:val="1155CC"/>
            <w:u w:val="single"/>
            <w:sz w:val="20"/>
          </w:rPr>
          <w:t xml:space="preserve">Sudlow et al. (UK Biobank), PLoS Med 2015</w:t>
        </w:r>
      </w:hyperlink>
      <w:r>
        <w:rPr>
          <w:sz w:val="21"/>
        </w:rPr>
        <w:t xml:space="preserve">; </w:t>
      </w:r>
      <w:hyperlink r:id="rId22">
        <w:r>
          <w:rPr>
            <w:color w:val="1155CC"/>
            <w:u w:val="single"/>
            <w:sz w:val="20"/>
          </w:rPr>
          <w:t xml:space="preserve">Gaziano et al. (MVP), J Clin Epidemiol 2016</w:t>
        </w:r>
      </w:hyperlink>
      <w:r>
        <w:rPr>
          <w:sz w:val="21"/>
        </w:rPr>
        <w:t xml:space="preserve">; </w:t>
      </w:r>
      <w:hyperlink r:id="rId23">
        <w:r>
          <w:rPr>
            <w:color w:val="1155CC"/>
            <w:u w:val="single"/>
            <w:sz w:val="20"/>
          </w:rPr>
          <w:t xml:space="preserve">Kurki et al. (FinnGen), Nature 2023</w:t>
        </w:r>
      </w:hyperlink>
      <w:r>
        <w:rPr>
          <w:sz w:val="21"/>
        </w:rPr>
        <w:t xml:space="preserve">; </w:t>
      </w:r>
      <w:hyperlink r:id="rId24">
        <w:r>
          <w:rPr>
            <w:color w:val="1155CC"/>
            <w:u w:val="single"/>
            <w:sz w:val="20"/>
          </w:rPr>
          <w:t xml:space="preserve">Chen et al. (China Kadoorie), Int J Epidemiol 2011</w:t>
        </w:r>
      </w:hyperlink>
      <w:r>
        <w:rPr>
          <w:sz w:val="21"/>
        </w:rPr>
        <w:t xml:space="preserve">; </w:t>
      </w:r>
      <w:hyperlink r:id="rId25">
        <w:r>
          <w:rPr>
            <w:color w:val="1155CC"/>
            <w:u w:val="single"/>
            <w:sz w:val="20"/>
          </w:rPr>
          <w:t xml:space="preserve">Sirugo et al. (missing diversity), Cell 2019</w:t>
        </w:r>
      </w:hyperlink>
      <w:r>
        <w:rPr>
          <w:sz w:val="21"/>
        </w:rPr>
        <w:t xml:space="preserve">; </w:t>
      </w:r>
      <w:hyperlink r:id="rId26">
        <w:r>
          <w:rPr>
            <w:color w:val="1155CC"/>
            <w:u w:val="single"/>
            <w:sz w:val="20"/>
          </w:rPr>
          <w:t xml:space="preserve">Martin et al. (PRS equity), Nat Genet 2019</w:t>
        </w:r>
      </w:hyperlink>
      <w:r>
        <w:rPr>
          <w:sz w:val="21"/>
        </w:rPr>
        <w:t xml:space="preserve">; </w:t>
      </w:r>
      <w:hyperlink r:id="rId27">
        <w:r>
          <w:rPr>
            <w:color w:val="1155CC"/>
            <w:u w:val="single"/>
            <w:sz w:val="20"/>
          </w:rPr>
          <w:t xml:space="preserve">Fry et al. (representativeness), Am J Epidemiol 2017</w:t>
        </w:r>
      </w:hyperlink>
      <w:r>
        <w:rPr>
          <w:sz w:val="21"/>
        </w:rPr>
        <w:t>.</w:t>
      </w:r>
    </w:p>
    <w:p>
      <w:pPr>
        <w:pStyle w:val="Heading1"/>
      </w:pPr>
      <w:r>
        <w:t>4. Emerging scientific frontiers and AoU white space</w:t>
      </w:r>
    </w:p>
    <w:p>
      <w:r>
        <w:rPr>
          <w:sz w:val="21"/>
        </w:rPr>
        <w:t>4.1 Horizon-scan method (preprints + grants; term-acceleration; open topic discovery; feasibility overlay).</w:t>
      </w:r>
    </w:p>
    <w:p>
      <w:r>
        <w:rPr>
          <w:sz w:val="21"/>
        </w:rPr>
        <w:t>4.2 The AI/ML wave: genomic foundation models, LLMs/agentic AI, multimodal modeling.</w:t>
      </w:r>
    </w:p>
    <w:p>
      <w:r>
        <w:rPr>
          <w:sz w:val="21"/>
        </w:rPr>
        <w:t>4.3 Disease-definition and methods shifts (e.g., MASLD; causal inference/target-trial emulation).</w:t>
      </w:r>
    </w:p>
    <w:p>
      <w:r>
        <w:rPr>
          <w:sz w:val="21"/>
        </w:rPr>
        <w:t>4.4 Frontiers outside AoU's data model (single-cell/spatial, protein structure) - partner, don't chase.</w:t>
      </w:r>
    </w:p>
    <w:p>
      <w:r>
        <w:rPr>
          <w:sz w:val="21"/>
        </w:rPr>
        <w:t>4.5 Actionable white space for a diverse cohort.</w:t>
      </w:r>
    </w:p>
    <w:p>
      <w:r>
        <w:rPr>
          <w:b/>
          <w:sz w:val="21"/>
        </w:rPr>
        <w:t>Key citations:</w:t>
      </w:r>
      <w:r>
        <w:rPr>
          <w:sz w:val="21"/>
        </w:rPr>
        <w:t xml:space="preserve"> </w:t>
      </w:r>
      <w:hyperlink r:id="rId28">
        <w:r>
          <w:rPr>
            <w:color w:val="1155CC"/>
            <w:u w:val="single"/>
            <w:sz w:val="20"/>
          </w:rPr>
          <w:t xml:space="preserve">Moor et al. (generalist medical AI), Nature 2023</w:t>
        </w:r>
      </w:hyperlink>
      <w:r>
        <w:rPr>
          <w:sz w:val="21"/>
        </w:rPr>
        <w:t xml:space="preserve">; </w:t>
      </w:r>
      <w:hyperlink r:id="rId29">
        <w:r>
          <w:rPr>
            <w:color w:val="1155CC"/>
            <w:u w:val="single"/>
            <w:sz w:val="20"/>
          </w:rPr>
          <w:t xml:space="preserve">Singhal et al. (Med-PaLM), Nature 2023</w:t>
        </w:r>
      </w:hyperlink>
      <w:r>
        <w:rPr>
          <w:sz w:val="21"/>
        </w:rPr>
        <w:t xml:space="preserve">; </w:t>
      </w:r>
      <w:hyperlink r:id="rId30">
        <w:r>
          <w:rPr>
            <w:color w:val="1155CC"/>
            <w:u w:val="single"/>
            <w:sz w:val="20"/>
          </w:rPr>
          <w:t xml:space="preserve">Dalla-Torre et al. (Nucleotide Transformer), Nat Methods 2025</w:t>
        </w:r>
      </w:hyperlink>
      <w:r>
        <w:rPr>
          <w:sz w:val="21"/>
        </w:rPr>
        <w:t xml:space="preserve">; </w:t>
      </w:r>
      <w:hyperlink r:id="rId31">
        <w:r>
          <w:rPr>
            <w:color w:val="1155CC"/>
            <w:u w:val="single"/>
            <w:sz w:val="20"/>
          </w:rPr>
          <w:t xml:space="preserve">Nguyen et al. (Evo), Science 2024</w:t>
        </w:r>
      </w:hyperlink>
      <w:r>
        <w:rPr>
          <w:sz w:val="21"/>
        </w:rPr>
        <w:t xml:space="preserve">; </w:t>
      </w:r>
      <w:hyperlink r:id="rId32">
        <w:r>
          <w:rPr>
            <w:color w:val="1155CC"/>
            <w:u w:val="single"/>
            <w:sz w:val="20"/>
          </w:rPr>
          <w:t xml:space="preserve">Acosta et al. (multimodal biomedical AI), Nat Med 2022</w:t>
        </w:r>
      </w:hyperlink>
      <w:r>
        <w:rPr>
          <w:sz w:val="21"/>
        </w:rPr>
        <w:t xml:space="preserve">; </w:t>
      </w:r>
      <w:hyperlink r:id="rId33">
        <w:r>
          <w:rPr>
            <w:color w:val="1155CC"/>
            <w:u w:val="single"/>
            <w:sz w:val="20"/>
          </w:rPr>
          <w:t xml:space="preserve">Rinella et al. (MASLD nomenclature), Hepatology 2023</w:t>
        </w:r>
      </w:hyperlink>
      <w:r>
        <w:rPr>
          <w:sz w:val="21"/>
        </w:rPr>
        <w:t xml:space="preserve">; </w:t>
      </w:r>
      <w:hyperlink r:id="rId34">
        <w:r>
          <w:rPr>
            <w:color w:val="1155CC"/>
            <w:u w:val="single"/>
            <w:sz w:val="20"/>
          </w:rPr>
          <w:t xml:space="preserve">Hernán &amp; Robins (target-trial emulation), Am J Epidemiol 2016</w:t>
        </w:r>
      </w:hyperlink>
      <w:r>
        <w:rPr>
          <w:sz w:val="21"/>
        </w:rPr>
        <w:t xml:space="preserve">; </w:t>
      </w:r>
      <w:hyperlink r:id="rId35">
        <w:r>
          <w:rPr>
            <w:color w:val="1155CC"/>
            <w:u w:val="single"/>
            <w:sz w:val="20"/>
          </w:rPr>
          <w:t xml:space="preserve">Jumper et al. (AlphaFold), Nature 2021</w:t>
        </w:r>
      </w:hyperlink>
      <w:r>
        <w:rPr>
          <w:sz w:val="21"/>
        </w:rPr>
        <w:t>.</w:t>
      </w:r>
    </w:p>
    <w:p>
      <w:pPr>
        <w:pStyle w:val="Heading1"/>
      </w:pPr>
      <w:r>
        <w:t>5. The analysis platform: the Researcher Workbench</w:t>
      </w:r>
    </w:p>
    <w:p>
      <w:r>
        <w:rPr>
          <w:sz w:val="21"/>
        </w:rPr>
        <w:t>5.1 Why the platform shapes the science; comparator platforms (N3C, Terra/AnVIL, BioData Catalyst, UKB-RAP, Kids First).</w:t>
      </w:r>
    </w:p>
    <w:p>
      <w:r>
        <w:rPr>
          <w:sz w:val="21"/>
        </w:rPr>
        <w:t>5.2 Capability/data-asset gaps: reusable tool/workflow registry; portable workflows/standards.</w:t>
      </w:r>
    </w:p>
    <w:p>
      <w:r>
        <w:rPr>
          <w:sz w:val="21"/>
        </w:rPr>
        <w:t>5.3 Governed in-environment AI: the BAA/egress reality and the in-VPC path.</w:t>
      </w:r>
    </w:p>
    <w:p>
      <w:r>
        <w:rPr>
          <w:sz w:val="21"/>
        </w:rPr>
        <w:t>5.4 Reuse and collaboration signals on the 32,922-workspace census (87.7% solo, 3.2% multi-institution, ~18% tutorial clones) - and what they imply for a reuse economy.</w:t>
      </w:r>
    </w:p>
    <w:p>
      <w:r>
        <w:rPr>
          <w:sz w:val="21"/>
        </w:rPr>
        <w:t>5.5 Convergent external evidence: an unreleased 2026 ACT-IAC/AoU draft white paper (*Advancing AI/ML for the NIH All of Us Research Program*), built from stakeholder interviews, independently recommends the same enablers - a governed in-environment AI research assistant with agent-ready (MCP) metadata services, a reusable-research-asset registry with graduated tool certification, portable workflows, and a hybrid/federated compute model. Qualitative triangulation of this paper's quantitative gap analysis. (Confidential draft - cited, not quoted.)</w:t>
      </w:r>
    </w:p>
    <w:p>
      <w:r>
        <w:rPr>
          <w:b/>
          <w:sz w:val="21"/>
        </w:rPr>
        <w:t>Key citations:</w:t>
      </w:r>
      <w:r>
        <w:rPr>
          <w:sz w:val="21"/>
        </w:rPr>
        <w:t xml:space="preserve"> </w:t>
      </w:r>
      <w:hyperlink r:id="rId36">
        <w:r>
          <w:rPr>
            <w:color w:val="1155CC"/>
            <w:u w:val="single"/>
            <w:sz w:val="20"/>
          </w:rPr>
          <w:t xml:space="preserve">Haendel et al. (N3C), JAMIA 2021</w:t>
        </w:r>
      </w:hyperlink>
      <w:r>
        <w:rPr>
          <w:sz w:val="21"/>
        </w:rPr>
        <w:t xml:space="preserve">; </w:t>
      </w:r>
      <w:hyperlink r:id="rId37">
        <w:r>
          <w:rPr>
            <w:color w:val="1155CC"/>
            <w:u w:val="single"/>
            <w:sz w:val="20"/>
          </w:rPr>
          <w:t xml:space="preserve">Schatz et al. (AnVIL), Cell Genomics 2022</w:t>
        </w:r>
      </w:hyperlink>
      <w:r>
        <w:rPr>
          <w:sz w:val="21"/>
        </w:rPr>
        <w:t xml:space="preserve">; </w:t>
      </w:r>
      <w:hyperlink r:id="rId38">
        <w:r>
          <w:rPr>
            <w:color w:val="1155CC"/>
            <w:u w:val="single"/>
            <w:sz w:val="20"/>
          </w:rPr>
          <w:t xml:space="preserve">Ahalt et al. (BioData Catalyst), JAMIA 2023</w:t>
        </w:r>
      </w:hyperlink>
      <w:r>
        <w:rPr>
          <w:sz w:val="21"/>
        </w:rPr>
        <w:t xml:space="preserve">; </w:t>
      </w:r>
      <w:hyperlink r:id="rId39">
        <w:r>
          <w:rPr>
            <w:color w:val="1155CC"/>
            <w:u w:val="single"/>
            <w:sz w:val="20"/>
          </w:rPr>
          <w:t xml:space="preserve">O'Connor et al. (Dockstore), F1000Research 2017</w:t>
        </w:r>
      </w:hyperlink>
      <w:r>
        <w:rPr>
          <w:sz w:val="21"/>
        </w:rPr>
        <w:t xml:space="preserve">; </w:t>
      </w:r>
      <w:hyperlink r:id="rId40">
        <w:r>
          <w:rPr>
            <w:color w:val="1155CC"/>
            <w:u w:val="single"/>
            <w:sz w:val="20"/>
          </w:rPr>
          <w:t xml:space="preserve">Wilkinson et al. (FAIR), Sci Data 2016</w:t>
        </w:r>
      </w:hyperlink>
      <w:r>
        <w:rPr>
          <w:sz w:val="21"/>
        </w:rPr>
        <w:t xml:space="preserve">; </w:t>
      </w:r>
      <w:hyperlink r:id="rId41">
        <w:r>
          <w:rPr>
            <w:color w:val="1155CC"/>
            <w:u w:val="single"/>
            <w:sz w:val="20"/>
          </w:rPr>
          <w:t xml:space="preserve">Rehm et al. (GA4GH), Cell Genomics 2021</w:t>
        </w:r>
      </w:hyperlink>
      <w:r>
        <w:rPr>
          <w:sz w:val="21"/>
        </w:rPr>
        <w:t>.</w:t>
      </w:r>
    </w:p>
    <w:p>
      <w:pPr>
        <w:pStyle w:val="Heading1"/>
      </w:pPr>
      <w:r>
        <w:t>6. Recommendations for the refreshed roadmap</w:t>
      </w:r>
    </w:p>
    <w:p>
      <w:r>
        <w:rPr>
          <w:sz w:val="21"/>
        </w:rPr>
        <w:t>6.1 Add a "Data, AI &amp; Methods" focus area.</w:t>
      </w:r>
    </w:p>
    <w:p>
      <w:r>
        <w:rPr>
          <w:sz w:val="21"/>
        </w:rPr>
        <w:t>6.2 Multi-omics/proteomics release roadmap; name it in the framework.</w:t>
      </w:r>
    </w:p>
    <w:p>
      <w:r>
        <w:rPr>
          <w:sz w:val="21"/>
        </w:rPr>
        <w:t xml:space="preserve">6.3 Governed in-environment AI co-scientist + reusable-tools registry + multimodal templates - and an </w:t>
      </w:r>
      <w:r>
        <w:rPr>
          <w:b/>
          <w:sz w:val="21"/>
        </w:rPr>
        <w:t>internal All of Us foundation model hosted securely with no data egress</w:t>
      </w:r>
      <w:r>
        <w:rPr>
          <w:sz w:val="21"/>
        </w:rPr>
        <w:t xml:space="preserve">, guided by a program </w:t>
      </w:r>
      <w:r>
        <w:rPr>
          <w:b/>
          <w:sz w:val="21"/>
        </w:rPr>
        <w:t>"super user group"</w:t>
      </w:r>
      <w:r>
        <w:rPr>
          <w:sz w:val="21"/>
        </w:rPr>
        <w:t xml:space="preserve"> (2026 committee idea); this unifies the genomic-foundation-model white-space with the governed-in-environment-AI gap.</w:t>
      </w:r>
    </w:p>
    <w:p>
      <w:r>
        <w:rPr>
          <w:sz w:val="21"/>
        </w:rPr>
        <w:t>6.4 Protect distinctive strengths (diversity, SDOH, ELSI); coordinate across recognized need areas.</w:t>
      </w:r>
    </w:p>
    <w:p>
      <w:r>
        <w:rPr>
          <w:sz w:val="21"/>
        </w:rPr>
        <w:t>6.5 Measurement: track the roadmap with the same corpus methods over time.</w:t>
      </w:r>
    </w:p>
    <w:p>
      <w:r>
        <w:rPr>
          <w:sz w:val="21"/>
        </w:rPr>
        <w:t xml:space="preserve">6.6 Adopt the </w:t>
      </w:r>
      <w:r>
        <w:rPr>
          <w:b/>
          <w:sz w:val="21"/>
        </w:rPr>
        <w:t>driver-project / driver-paper model</w:t>
      </w:r>
      <w:r>
        <w:rPr>
          <w:sz w:val="21"/>
        </w:rPr>
        <w:t xml:space="preserve"> (from the 2026 committee's Women's Health Driver Project) as a standing mechanism - program biostatistical support producing exemplar analyses - and make </w:t>
      </w:r>
      <w:r>
        <w:rPr>
          <w:b/>
          <w:sz w:val="21"/>
        </w:rPr>
        <w:t>rare-disease and intersectional (equity × rare-disease × geography, e.g. rare disease + rurality) driver papers</w:t>
      </w:r>
      <w:r>
        <w:rPr>
          <w:sz w:val="21"/>
        </w:rPr>
        <w:t xml:space="preserve"> an explicit near-term deliverable that attacks the rare-disease peer-gap using AoU's diversity.</w:t>
      </w:r>
    </w:p>
    <w:p>
      <w:r>
        <w:rPr>
          <w:sz w:val="21"/>
        </w:rPr>
        <w:t xml:space="preserve">6.7 Make </w:t>
      </w:r>
      <w:r>
        <w:rPr>
          <w:b/>
          <w:sz w:val="21"/>
        </w:rPr>
        <w:t>generalizability weighting a first-class Workbench capability</w:t>
      </w:r>
      <w:r>
        <w:rPr>
          <w:sz w:val="21"/>
        </w:rPr>
        <w:t xml:space="preserve"> (promote the </w:t>
      </w:r>
      <w:r>
        <w:rPr>
          <w:rFonts w:ascii="Courier New" w:hAnsi="Courier New"/>
          <w:sz w:val="21"/>
        </w:rPr>
        <w:t>waou</w:t>
      </w:r>
      <w:r>
        <w:rPr>
          <w:sz w:val="21"/>
        </w:rPr>
        <w:t xml:space="preserve">-style survey-weighting toolkit to a documented, reusable research asset), and connect the program's </w:t>
      </w:r>
      <w:r>
        <w:rPr>
          <w:b/>
          <w:sz w:val="21"/>
        </w:rPr>
        <w:t>publicly posted external-biospecimen-request mechanism</w:t>
      </w:r>
      <w:r>
        <w:rPr>
          <w:sz w:val="21"/>
        </w:rPr>
        <w:t xml:space="preserve"> to a graduated partner-contribution / reusable-asset model.</w:t>
      </w:r>
    </w:p>
    <w:p>
      <w:r>
        <w:rPr>
          <w:b/>
          <w:sz w:val="21"/>
        </w:rPr>
        <w:t>Key citations:</w:t>
      </w:r>
      <w:r>
        <w:rPr>
          <w:sz w:val="21"/>
        </w:rPr>
        <w:t xml:space="preserve"> </w:t>
      </w:r>
      <w:hyperlink r:id="rId42">
        <w:r>
          <w:rPr>
            <w:color w:val="1155CC"/>
            <w:u w:val="single"/>
            <w:sz w:val="20"/>
          </w:rPr>
          <w:t xml:space="preserve">Obermeyer et al. (algorithmic bias), Science 2019</w:t>
        </w:r>
      </w:hyperlink>
      <w:r>
        <w:rPr>
          <w:sz w:val="21"/>
        </w:rPr>
        <w:t xml:space="preserve">; </w:t>
      </w:r>
      <w:hyperlink r:id="rId43">
        <w:r>
          <w:rPr>
            <w:color w:val="1155CC"/>
            <w:u w:val="single"/>
            <w:sz w:val="20"/>
          </w:rPr>
          <w:t xml:space="preserve">Wiens et al. (responsible ML), Nat Med 2019</w:t>
        </w:r>
      </w:hyperlink>
      <w:r>
        <w:rPr>
          <w:sz w:val="21"/>
        </w:rPr>
        <w:t xml:space="preserve">; </w:t>
      </w:r>
      <w:hyperlink r:id="rId44">
        <w:r>
          <w:rPr>
            <w:color w:val="1155CC"/>
            <w:u w:val="single"/>
            <w:sz w:val="20"/>
          </w:rPr>
          <w:t xml:space="preserve">Rajkomar et al. (fairness), Ann Intern Med 2018</w:t>
        </w:r>
      </w:hyperlink>
      <w:r>
        <w:rPr>
          <w:sz w:val="21"/>
        </w:rPr>
        <w:t xml:space="preserve">; </w:t>
      </w:r>
      <w:hyperlink r:id="rId45">
        <w:r>
          <w:rPr>
            <w:color w:val="1155CC"/>
            <w:u w:val="single"/>
            <w:sz w:val="20"/>
          </w:rPr>
          <w:t xml:space="preserve">Char et al. (ethical ML), NEJM 2018</w:t>
        </w:r>
      </w:hyperlink>
      <w:r>
        <w:rPr>
          <w:sz w:val="21"/>
        </w:rPr>
        <w:t xml:space="preserve">; </w:t>
      </w:r>
      <w:hyperlink r:id="rId46">
        <w:r>
          <w:rPr>
            <w:color w:val="1155CC"/>
            <w:u w:val="single"/>
            <w:sz w:val="20"/>
          </w:rPr>
          <w:t xml:space="preserve">Montgomery et al. (generalizability), Am J Epidemiol 2026</w:t>
        </w:r>
      </w:hyperlink>
      <w:r>
        <w:rPr>
          <w:sz w:val="21"/>
        </w:rPr>
        <w:t xml:space="preserve"> + </w:t>
      </w:r>
      <w:hyperlink r:id="rId47">
        <w:r>
          <w:rPr>
            <w:color w:val="1155CC"/>
            <w:u w:val="single"/>
            <w:sz w:val="20"/>
          </w:rPr>
          <w:t xml:space="preserve">waou (CRAN)</w:t>
        </w:r>
      </w:hyperlink>
      <w:r>
        <w:rPr>
          <w:sz w:val="21"/>
        </w:rPr>
        <w:t xml:space="preserve">; </w:t>
      </w:r>
      <w:hyperlink r:id="rId20">
        <w:r>
          <w:rPr>
            <w:color w:val="1155CC"/>
            <w:u w:val="single"/>
            <w:sz w:val="20"/>
          </w:rPr>
          <w:t xml:space="preserve">Cohn et al. (driver-paper model), J Women's Health 2026</w:t>
        </w:r>
      </w:hyperlink>
      <w:r>
        <w:rPr>
          <w:sz w:val="21"/>
        </w:rPr>
        <w:t>.</w:t>
      </w:r>
    </w:p>
    <w:p>
      <w:pPr>
        <w:pStyle w:val="Heading1"/>
      </w:pPr>
      <w:r>
        <w:t>7. Limitations</w:t>
      </w:r>
    </w:p>
    <w:p>
      <w:r>
        <w:rPr>
          <w:sz w:val="21"/>
        </w:rPr>
        <w:t xml:space="preserve">Keyword tagging; workspace snapshot recency; name-search peer corpora; grant/IC coverage; platform specifics from vendor docs. Generalizability: AoU is a volunteer cohort, so prevalence/association estimates require weighting to the US population - cite the 2026 generalizability Driver Project and the </w:t>
      </w:r>
      <w:r>
        <w:rPr>
          <w:rFonts w:ascii="Courier New" w:hAnsi="Courier New"/>
          <w:sz w:val="21"/>
        </w:rPr>
        <w:t>waou</w:t>
      </w:r>
      <w:r>
        <w:rPr>
          <w:sz w:val="21"/>
        </w:rPr>
        <w:t xml:space="preserve"> survey-weighting package (*Am J Epidemiology* 2026; verify before use) as both a caveat and an available remedy.</w:t>
      </w:r>
    </w:p>
    <w:p>
      <w:pPr>
        <w:pStyle w:val="Heading1"/>
      </w:pPr>
      <w:r>
        <w:t>8. Conclusion</w:t>
      </w:r>
    </w:p>
    <w:p>
      <w:r>
        <w:rPr>
          <w:sz w:val="21"/>
        </w:rPr>
        <w:t>A diverse national cohort's next chapter: lead on AI-ready, equity-anchored, reusable science.</w:t>
      </w:r>
    </w:p>
    <w:p>
      <w:pPr>
        <w:pStyle w:val="Heading1"/>
      </w:pPr>
      <w:r>
        <w:t>Citation plan (clusters → parallel verified harvesting)</w:t>
      </w:r>
    </w:p>
    <w:p>
      <w:pPr>
        <w:pStyle w:val="ListBullet"/>
      </w:pPr>
      <w:r>
        <w:rPr>
          <w:b/>
          <w:sz w:val="21"/>
        </w:rPr>
        <w:t>Cluster A</w:t>
      </w:r>
      <w:r>
        <w:rPr>
          <w:sz w:val="21"/>
        </w:rPr>
        <w:t xml:space="preserve"> (Introduction &amp; research landscape): AoU program, precision medicine, diversity, OMOP/phenome-wide, corpus/bibliometric methods. Ancillary studies cite the NIH *Partnered Research Studies* page + each study's program source (e.g. NPH on clinicaltrials.gov).</w:t>
      </w:r>
    </w:p>
    <w:p>
      <w:pPr>
        <w:pStyle w:val="ListBullet"/>
      </w:pPr>
      <w:r>
        <w:rPr>
          <w:b/>
          <w:sz w:val="21"/>
        </w:rPr>
        <w:t>Cluster B</w:t>
      </w:r>
      <w:r>
        <w:rPr>
          <w:sz w:val="21"/>
        </w:rPr>
        <w:t xml:space="preserve"> (Peer biobanks): UK Biobank, FinnGen, MVP, China Kadoorie; biobank/cohort comparison &amp; bibliometrics.</w:t>
      </w:r>
    </w:p>
    <w:p>
      <w:pPr>
        <w:pStyle w:val="ListBullet"/>
      </w:pPr>
      <w:r>
        <w:rPr>
          <w:b/>
          <w:sz w:val="21"/>
        </w:rPr>
        <w:t>Cluster C</w:t>
      </w:r>
      <w:r>
        <w:rPr>
          <w:sz w:val="21"/>
        </w:rPr>
        <w:t xml:space="preserve"> (Emerging frontiers): AI/foundation models, LLMs in medicine, genomic FMs, multimodal, MASLD, spatial/single-cell, causal inference/target-trial emulation.</w:t>
      </w:r>
    </w:p>
    <w:p>
      <w:pPr>
        <w:pStyle w:val="ListBullet"/>
      </w:pPr>
      <w:r>
        <w:rPr>
          <w:b/>
          <w:sz w:val="21"/>
        </w:rPr>
        <w:t>Cluster D</w:t>
      </w:r>
      <w:r>
        <w:rPr>
          <w:sz w:val="21"/>
        </w:rPr>
        <w:t xml:space="preserve"> (Platform &amp; recommendations): secure-analysis platforms (Terra/AnVIL, N3C, BioData Catalyst, Kids First, Researcher Workbench), GA4GH/Dockstore/FAIR, governed clinical AI/compute-to-data; author-group anchors (Haendel). The 2026 ACT-IAC/AoU AI/ML white paper is cited as an unreleased draft, distinctly tagged.</w:t>
      </w:r>
    </w:p>
    <w:p>
      <w:r>
        <w:rPr>
          <w:b/>
          <w:sz w:val="21"/>
        </w:rPr>
        <w:t>Harvest status (2026-10-21):</w:t>
      </w:r>
      <w:r>
        <w:rPr>
          <w:sz w:val="21"/>
        </w:rPr>
        <w:t xml:space="preserve"> committee-sourced + frontier citations harvested and verified - the generalizability paper (*Am J Epi* 2026) + </w:t>
      </w:r>
      <w:r>
        <w:rPr>
          <w:rFonts w:ascii="Courier New" w:hAnsi="Courier New"/>
          <w:sz w:val="21"/>
        </w:rPr>
        <w:t>waou</w:t>
      </w:r>
      <w:r>
        <w:rPr>
          <w:sz w:val="21"/>
        </w:rPr>
        <w:t xml:space="preserve"> (CRAN) and the women's-health driver paper (*J Women's Health* 2026) are confirmed published and added to Cluster D; 15 verified frontier-method citations added to Cluster C. The multi-omics "10,000 diverse individuals" preprint could not be verified and was omitted (the program activity is still described, uncited). Spot-check every DOI/PMID on import.</w:t>
      </w:r>
    </w:p>
    <w:p>
      <w:r>
        <w:rPr>
          <w:b/>
          <w:sz w:val="21"/>
        </w:rPr>
        <w:t>Preprints as citations.</w:t>
      </w:r>
      <w:r>
        <w:rPr>
          <w:sz w:val="21"/>
        </w:rPr>
        <w:t xml:space="preserve"> Preprints (bioRxiv/medRxiv/arXiv) are permitted throughout - especially in Cluster C, where the fastest-moving AI/ML work is preprint-first - and must be </w:t>
      </w:r>
      <w:r>
        <w:rPr>
          <w:b/>
          <w:sz w:val="21"/>
        </w:rPr>
        <w:t>tagged distinctly</w:t>
      </w:r>
      <w:r>
        <w:rPr>
          <w:sz w:val="21"/>
        </w:rPr>
        <w:t xml:space="preserve"> (e.g. </w:t>
      </w:r>
      <w:r>
        <w:rPr>
          <w:rFonts w:ascii="Courier New" w:hAnsi="Courier New"/>
          <w:sz w:val="21"/>
        </w:rPr>
        <w:t>[preprint]</w:t>
      </w:r>
      <w:r>
        <w:rPr>
          <w:sz w:val="21"/>
        </w:rPr>
        <w:t>) with their DOI/server ID, flagged for published-version replacement before submission. The same anti-fabrication rule applies: include only preprints verified to resolve to the exact record.</w:t>
      </w:r>
    </w:p>
    <w:p>
      <w:r>
        <w:br w:type="page"/>
      </w:r>
    </w:p>
    <w:p>
      <w:pPr>
        <w:pStyle w:val="Title"/>
      </w:pPr>
      <w:r>
        <w:t>References (verified, with DOIs &amp; links)</w:t>
      </w:r>
    </w:p>
    <w:p>
      <w:r>
        <w:rPr>
          <w:i/>
          <w:sz w:val="19"/>
        </w:rPr>
        <w:t>69 of 72 references carry a resolvable DOI (NCBI E-utilities); the rest link to their canonical source. Spot-check on import.</w:t>
      </w:r>
    </w:p>
    <w:p>
      <w:pPr>
        <w:pStyle w:val="Title"/>
      </w:pPr>
      <w:r>
        <w:t>Seed references - "Where a diverse national cohort should go next: a data-driven refresh of the All of Us scientific roadmap"</w:t>
      </w:r>
    </w:p>
    <w:p>
      <w:r>
        <w:rPr>
          <w:sz w:val="21"/>
        </w:rPr>
        <w:t>Narrative / data-driven perspective · for the 2026 *All of Us* Science Committee and the biobank/informatics community.</w:t>
      </w:r>
    </w:p>
    <w:p>
      <w:r>
        <w:rPr>
          <w:sz w:val="21"/>
        </w:rPr>
        <w:t xml:space="preserve">This is a </w:t>
      </w:r>
      <w:r>
        <w:rPr>
          <w:b/>
          <w:sz w:val="21"/>
        </w:rPr>
        <w:t>seed</w:t>
      </w:r>
      <w:r>
        <w:rPr>
          <w:sz w:val="21"/>
        </w:rPr>
        <w:t xml:space="preserve"> reference list to anchor citation-gathering, organized to match</w:t>
      </w:r>
    </w:p>
    <w:p>
      <w:hyperlink r:id="rId48">
        <w:r>
          <w:rPr>
            <w:color w:val="1155CC"/>
            <w:u w:val="single"/>
            <w:sz w:val="20"/>
          </w:rPr>
          <w:t xml:space="preserve">`outline.md`</w:t>
        </w:r>
      </w:hyperlink>
      <w:r>
        <w:rPr>
          <w:sz w:val="21"/>
        </w:rPr>
        <w:t xml:space="preserve">. </w:t>
      </w:r>
      <w:r>
        <w:rPr>
          <w:b/>
          <w:sz w:val="21"/>
        </w:rPr>
        <w:t>Every entry was verified against a real source</w:t>
      </w:r>
      <w:r>
        <w:rPr>
          <w:sz w:val="21"/>
        </w:rPr>
        <w:t xml:space="preserve"> (PubMed / PMC /</w:t>
      </w:r>
    </w:p>
    <w:p>
      <w:r>
        <w:rPr>
          <w:sz w:val="21"/>
        </w:rPr>
        <w:t>publisher / resolvable DOI - or arXiv/bioRxiv for CS work), with title + first author + year</w:t>
      </w:r>
    </w:p>
    <w:p>
      <w:r>
        <w:rPr>
          <w:sz w:val="21"/>
        </w:rPr>
        <w:t xml:space="preserve">confirmed; nothing was invented. </w:t>
      </w:r>
      <w:r>
        <w:rPr>
          <w:b/>
          <w:sz w:val="21"/>
        </w:rPr>
        <w:t>Spot-check before submission - see Caveats at the end.</w:t>
      </w:r>
    </w:p>
    <w:p>
      <w:pPr>
        <w:pStyle w:val="ListBullet"/>
      </w:pPr>
      <w:r>
        <w:rPr>
          <w:b/>
          <w:sz w:val="21"/>
        </w:rPr>
        <w:t>[Author-group]</w:t>
      </w:r>
      <w:r>
        <w:rPr>
          <w:sz w:val="21"/>
        </w:rPr>
        <w:t xml:space="preserve"> tags papers authored by M. Haendel or close collaborators (verified in the byline).</w:t>
      </w:r>
    </w:p>
    <w:p>
      <w:pPr>
        <w:pStyle w:val="ListBullet"/>
      </w:pPr>
      <w:r>
        <w:rPr>
          <w:sz w:val="21"/>
        </w:rPr>
        <w:t xml:space="preserve">Some papers serve more than one section; the primary listing is marked and re-uses noted </w:t>
      </w:r>
      <w:r>
        <w:rPr>
          <w:rFonts w:ascii="Courier New" w:hAnsi="Courier New"/>
          <w:sz w:val="21"/>
        </w:rPr>
        <w:t>**</w:t>
      </w:r>
      <w:r>
        <w:rPr>
          <w:sz w:val="21"/>
        </w:rPr>
        <w:t>.</w:t>
      </w:r>
    </w:p>
    <w:p>
      <w:pPr>
        <w:pStyle w:val="ListBullet"/>
      </w:pPr>
      <w:r>
        <w:rPr>
          <w:rFonts w:ascii="Courier New" w:hAnsi="Courier New"/>
          <w:sz w:val="21"/>
        </w:rPr>
        <w:t>[preprint]</w:t>
      </w:r>
      <w:r>
        <w:rPr>
          <w:sz w:val="21"/>
        </w:rPr>
        <w:t xml:space="preserve"> marks non-peer-reviewed sources.</w:t>
      </w:r>
    </w:p>
    <w:p>
      <w:pPr>
        <w:pStyle w:val="Heading1"/>
      </w:pPr>
      <w:r>
        <w:t>Anchor seeds (author's prior work)</w:t>
      </w:r>
    </w:p>
    <w:p>
      <w:pPr>
        <w:pStyle w:val="ListBullet"/>
      </w:pPr>
      <w:hyperlink r:id="rId36">
        <w:r>
          <w:rPr>
            <w:color w:val="1155CC"/>
            <w:u w:val="single"/>
            <w:sz w:val="20"/>
          </w:rPr>
          <w:t xml:space="preserve">Haendel et al. The National COVID Cohort Collaborative (N3C). JAMIA 2021</w:t>
        </w:r>
      </w:hyperlink>
      <w:r>
        <w:rPr>
          <w:sz w:val="21"/>
        </w:rPr>
        <w:t xml:space="preserve"> - Haendel first author; a secure, governed multi-site clinical-data enclave - the data-commons/governance anchor for. </w:t>
      </w:r>
      <w:r>
        <w:rPr>
          <w:b/>
          <w:sz w:val="21"/>
        </w:rPr>
        <w:t>[Author-group]</w:t>
      </w:r>
      <w:r>
        <w:rPr>
          <w:sz w:val="21"/>
        </w:rPr>
        <w:t xml:space="preserve"> **</w:t>
      </w:r>
    </w:p>
    <w:p>
      <w:pPr>
        <w:pStyle w:val="ListBullet"/>
      </w:pPr>
      <w:hyperlink r:id="rId49">
        <w:r>
          <w:rPr>
            <w:color w:val="1155CC"/>
            <w:u w:val="single"/>
            <w:sz w:val="20"/>
          </w:rPr>
          <w:t xml:space="preserve">Shefchek et al. The Monarch Initiative in 2019. Nucleic Acids Research 2020</w:t>
        </w:r>
      </w:hyperlink>
      <w:r>
        <w:rPr>
          <w:sz w:val="21"/>
        </w:rPr>
        <w:t xml:space="preserve"> - Haendel senior author; cross-species integrative phenotype–genotype platform and ontologies. </w:t>
      </w:r>
      <w:r>
        <w:rPr>
          <w:b/>
          <w:sz w:val="21"/>
        </w:rPr>
        <w:t>[Author-group]</w:t>
      </w:r>
    </w:p>
    <w:p>
      <w:pPr>
        <w:pStyle w:val="ListBullet"/>
      </w:pPr>
      <w:hyperlink r:id="rId50">
        <w:r>
          <w:rPr>
            <w:color w:val="1155CC"/>
            <w:u w:val="single"/>
            <w:sz w:val="20"/>
          </w:rPr>
          <w:t xml:space="preserve">Putman et al. The Monarch Initiative in 2024. Nucleic Acids Research 2024</w:t>
        </w:r>
      </w:hyperlink>
      <w:r>
        <w:rPr>
          <w:sz w:val="21"/>
        </w:rPr>
        <w:t xml:space="preserve"> - Haendel senior author; current Monarch knowledge-graph release. </w:t>
      </w:r>
      <w:r>
        <w:rPr>
          <w:b/>
          <w:sz w:val="21"/>
        </w:rPr>
        <w:t>[Author-group]</w:t>
      </w:r>
    </w:p>
    <w:p>
      <w:pPr>
        <w:pStyle w:val="ListBullet"/>
      </w:pPr>
      <w:hyperlink r:id="rId51">
        <w:r>
          <w:rPr>
            <w:color w:val="1155CC"/>
            <w:u w:val="single"/>
            <w:sz w:val="20"/>
          </w:rPr>
          <w:t xml:space="preserve">Köhler et al. The Human Phenotype Ontology in 2021. Nucleic Acids Research 2021</w:t>
        </w:r>
      </w:hyperlink>
      <w:r>
        <w:rPr>
          <w:sz w:val="21"/>
        </w:rPr>
        <w:t xml:space="preserve"> - Haendel verified in the byline; standard vocabulary for computable deep phenotyping. </w:t>
      </w:r>
      <w:r>
        <w:rPr>
          <w:b/>
          <w:sz w:val="21"/>
        </w:rPr>
        <w:t>[Author-group]</w:t>
      </w:r>
    </w:p>
    <w:p>
      <w:pPr>
        <w:pStyle w:val="ListBullet"/>
      </w:pPr>
      <w:hyperlink r:id="rId52">
        <w:r>
          <w:rPr>
            <w:color w:val="1155CC"/>
            <w:u w:val="single"/>
            <w:sz w:val="20"/>
          </w:rPr>
          <w:t xml:space="preserve">Jacobsen et al. The GA4GH Phenopacket schema. Nature Biotechnology 2022</w:t>
        </w:r>
      </w:hyperlink>
      <w:r>
        <w:rPr>
          <w:sz w:val="21"/>
        </w:rPr>
        <w:t xml:space="preserve"> - Haendel in byline; community standard for exchanging computable phenotypes (later ISO 4454). </w:t>
      </w:r>
      <w:r>
        <w:rPr>
          <w:b/>
          <w:sz w:val="21"/>
        </w:rPr>
        <w:t>[Author-group]</w:t>
      </w:r>
      <w:r>
        <w:rPr>
          <w:sz w:val="21"/>
        </w:rPr>
        <w:t xml:space="preserve"> **</w:t>
      </w:r>
    </w:p>
    <w:p>
      <w:pPr>
        <w:pStyle w:val="ListBullet"/>
      </w:pPr>
      <w:hyperlink r:id="rId53">
        <w:r>
          <w:rPr>
            <w:color w:val="1155CC"/>
            <w:u w:val="single"/>
            <w:sz w:val="20"/>
          </w:rPr>
          <w:t xml:space="preserve">Vasilevsky et al. Mondo: integrating disease terminology across communities. Genetics 2025</w:t>
        </w:r>
      </w:hyperlink>
      <w:r>
        <w:rPr>
          <w:sz w:val="21"/>
        </w:rPr>
        <w:t xml:space="preserve"> - Haendel senior author; unified computable disease-classification ontology. </w:t>
      </w:r>
      <w:r>
        <w:rPr>
          <w:b/>
          <w:sz w:val="21"/>
        </w:rPr>
        <w:t>[Author-group]</w:t>
      </w:r>
    </w:p>
    <w:p>
      <w:pPr>
        <w:pStyle w:val="Heading1"/>
      </w:pPr>
      <w:r>
        <w:t>1. Introduction - why refresh the roadmap now</w:t>
      </w:r>
    </w:p>
    <w:p>
      <w:pPr>
        <w:pStyle w:val="ListBullet"/>
      </w:pPr>
      <w:hyperlink r:id="rId54">
        <w:r>
          <w:rPr>
            <w:color w:val="1155CC"/>
            <w:u w:val="single"/>
            <w:sz w:val="20"/>
          </w:rPr>
          <w:t xml:space="preserve">Collins &amp; Varmus. A New Initiative on Precision Medicine. N Engl J Med 2015</w:t>
        </w:r>
      </w:hyperlink>
      <w:r>
        <w:rPr>
          <w:sz w:val="21"/>
        </w:rPr>
        <w:t xml:space="preserve"> - the Precision Medicine Initiative's founding Perspective; frames the national cohort that became All of Us.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9">
        <w:r>
          <w:rPr>
            <w:color w:val="1155CC"/>
            <w:u w:val="single"/>
            <w:sz w:val="20"/>
          </w:rPr>
          <w:t xml:space="preserve">10.1056/NEJMp1500523</w:t>
        </w:r>
      </w:hyperlink>
    </w:p>
    <w:p>
      <w:pPr>
        <w:pStyle w:val="ListBullet"/>
      </w:pPr>
      <w:hyperlink r:id="rId10">
        <w:r>
          <w:rPr>
            <w:color w:val="1155CC"/>
            <w:u w:val="single"/>
            <w:sz w:val="20"/>
          </w:rPr>
          <w:t xml:space="preserve">Precision Medicine Initiative Working Group. The PMI Cohort Program - Building a Research Foundation for 21st Century Medicine. NIH 2015</w:t>
        </w:r>
      </w:hyperlink>
      <w:r>
        <w:rPr>
          <w:sz w:val="21"/>
        </w:rPr>
        <w:t xml:space="preserve"> - the blueprint report recommending a 1M+ cohort; the design document behind All of Us. *(gray literature)*</w:t>
      </w:r>
    </w:p>
    <w:p>
      <w:pPr>
        <w:pStyle w:val="ListBullet"/>
      </w:pPr>
      <w:hyperlink r:id="rId55">
        <w:r>
          <w:rPr>
            <w:color w:val="1155CC"/>
            <w:u w:val="single"/>
            <w:sz w:val="20"/>
          </w:rPr>
          <w:t xml:space="preserve">All of Us Research Program Investigators. The All of Us Research Program. N Engl J Med 2019</w:t>
        </w:r>
      </w:hyperlink>
      <w:r>
        <w:rPr>
          <w:sz w:val="21"/>
        </w:rPr>
        <w:t xml:space="preserve"> - the canonical program description: goals, protocol, data types, &gt;80% underrepresented enrollment. *(also cited for benchmarking rationale and platform)*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11">
        <w:r>
          <w:rPr>
            <w:color w:val="1155CC"/>
            <w:u w:val="single"/>
            <w:sz w:val="20"/>
          </w:rPr>
          <w:t xml:space="preserve">10.1056/NEJMsr1809937</w:t>
        </w:r>
      </w:hyperlink>
    </w:p>
    <w:p>
      <w:pPr>
        <w:pStyle w:val="ListBullet"/>
      </w:pPr>
      <w:hyperlink r:id="rId56">
        <w:r>
          <w:rPr>
            <w:color w:val="1155CC"/>
            <w:u w:val="single"/>
            <w:sz w:val="20"/>
          </w:rPr>
          <w:t xml:space="preserve">Mapes et al. Diversity and Inclusion for the All of Us Research Program: A Scoping Review. PLoS ONE 2020</w:t>
        </w:r>
      </w:hyperlink>
      <w:r>
        <w:rPr>
          <w:sz w:val="21"/>
        </w:rPr>
        <w:t xml:space="preserve"> - defines/justifies the UBR (underrepresented in biomedical research) mandate.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12">
        <w:r>
          <w:rPr>
            <w:color w:val="1155CC"/>
            <w:u w:val="single"/>
            <w:sz w:val="20"/>
          </w:rPr>
          <w:t xml:space="preserve">10.1371/journal.pone.0234962</w:t>
        </w:r>
      </w:hyperlink>
    </w:p>
    <w:p>
      <w:pPr>
        <w:pStyle w:val="ListBullet"/>
      </w:pPr>
      <w:hyperlink r:id="rId13">
        <w:r>
          <w:rPr>
            <w:color w:val="1155CC"/>
            <w:u w:val="single"/>
            <w:sz w:val="20"/>
          </w:rPr>
          <w:t xml:space="preserve">Denny &amp; Collins. Precision Medicine in 2030 - Seven Ways to Transform Healthcare. Cell 2021</w:t>
        </w:r>
      </w:hyperlink>
      <w:r>
        <w:rPr>
          <w:sz w:val="21"/>
        </w:rPr>
        <w:t xml:space="preserve"> - forward-looking precision-medicine roadmap (cohorts, AI, phenomics, equity) from the AoU CEO and NIH Director.</w:t>
      </w:r>
    </w:p>
    <w:p>
      <w:pPr>
        <w:pStyle w:val="Heading1"/>
      </w:pPr>
      <w:r>
        <w:t>2. The All of Us research landscape</w:t>
      </w:r>
    </w:p>
    <w:p>
      <w:pPr>
        <w:pStyle w:val="ListBullet"/>
      </w:pPr>
      <w:hyperlink r:id="rId57">
        <w:r>
          <w:rPr>
            <w:color w:val="1155CC"/>
            <w:u w:val="single"/>
            <w:sz w:val="20"/>
          </w:rPr>
          <w:t xml:space="preserve">All of Us Research Program Genomics Investigators. Genomic Data in the All of Us Research Program. Nature 2024</w:t>
        </w:r>
      </w:hyperlink>
      <w:r>
        <w:rPr>
          <w:sz w:val="21"/>
        </w:rPr>
        <w:t xml:space="preserve"> - flagship genomics release (245,388 genomes, &gt;1B variants); anchors the genomic resource.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14">
        <w:r>
          <w:rPr>
            <w:color w:val="1155CC"/>
            <w:u w:val="single"/>
            <w:sz w:val="20"/>
          </w:rPr>
          <w:t xml:space="preserve">10.1038/s41586-023-06957-x</w:t>
        </w:r>
      </w:hyperlink>
    </w:p>
    <w:p>
      <w:pPr>
        <w:pStyle w:val="ListBullet"/>
      </w:pPr>
      <w:hyperlink r:id="rId58">
        <w:r>
          <w:rPr>
            <w:color w:val="1155CC"/>
            <w:u w:val="single"/>
            <w:sz w:val="20"/>
          </w:rPr>
          <w:t xml:space="preserve">Ramirez et al. The All of Us Research Program: Data Quality, Utility, and Diversity. Patterns 2022</w:t>
        </w:r>
      </w:hyperlink>
      <w:r>
        <w:rPr>
          <w:sz w:val="21"/>
        </w:rPr>
        <w:t xml:space="preserve"> - characterizes the data release (EHR, surveys, measurements) and the Researcher Workbench. </w:t>
      </w:r>
      <w:r>
        <w:rPr>
          <w:b/>
          <w:sz w:val="21"/>
        </w:rPr>
        <w:t xml:space="preserve"> · </w:t>
      </w:r>
      <w:r>
        <w:rPr>
          <w:sz w:val="21"/>
        </w:rPr>
        <w:t xml:space="preserve">DOI:** </w:t>
      </w:r>
      <w:hyperlink r:id="rId15">
        <w:r>
          <w:rPr>
            <w:color w:val="1155CC"/>
            <w:u w:val="single"/>
            <w:sz w:val="20"/>
          </w:rPr>
          <w:t xml:space="preserve">10.1016/j.patter.2022.100570</w:t>
        </w:r>
      </w:hyperlink>
    </w:p>
    <w:p>
      <w:pPr>
        <w:pStyle w:val="ListBullet"/>
      </w:pPr>
      <w:hyperlink r:id="rId16">
        <w:r>
          <w:rPr>
            <w:color w:val="1155CC"/>
            <w:u w:val="single"/>
            <w:sz w:val="20"/>
          </w:rPr>
          <w:t xml:space="preserve">Lederer et al. Data Quality Control in Using Fitbit Device Data From the All of Us Research Program. JMIR Mhealth Uhealth 2023</w:t>
        </w:r>
      </w:hyperlink>
      <w:r>
        <w:rPr>
          <w:sz w:val="21"/>
        </w:rPr>
        <w:t xml:space="preserve"> - the AoU Fitbit/wearables resource and its QC; supports the wearables data asset.</w:t>
      </w:r>
    </w:p>
    <w:p>
      <w:pPr>
        <w:pStyle w:val="ListBullet"/>
      </w:pPr>
      <w:hyperlink r:id="rId59">
        <w:r>
          <w:rPr>
            <w:color w:val="1155CC"/>
            <w:u w:val="single"/>
            <w:sz w:val="20"/>
          </w:rPr>
          <w:t xml:space="preserve">Overhage et al. Validation of a Common Data Model for Active Safety Surveillance Research. JAMIA 2012</w:t>
        </w:r>
      </w:hyperlink>
      <w:r>
        <w:rPr>
          <w:sz w:val="21"/>
        </w:rPr>
        <w:t xml:space="preserve"> - foundational validation of the OMOP CDM. </w:t>
      </w:r>
      <w:r>
        <w:rPr>
          <w:b/>
          <w:sz w:val="21"/>
        </w:rPr>
        <w:t xml:space="preserve"> · </w:t>
      </w:r>
      <w:r>
        <w:rPr>
          <w:sz w:val="21"/>
        </w:rPr>
        <w:t xml:space="preserve">DOI:** </w:t>
      </w:r>
      <w:hyperlink r:id="rId17">
        <w:r>
          <w:rPr>
            <w:color w:val="1155CC"/>
            <w:u w:val="single"/>
            <w:sz w:val="20"/>
          </w:rPr>
          <w:t xml:space="preserve">10.1136/amiajnl-2011-000376</w:t>
        </w:r>
      </w:hyperlink>
    </w:p>
    <w:p>
      <w:pPr>
        <w:pStyle w:val="ListBullet"/>
      </w:pPr>
      <w:hyperlink r:id="rId60">
        <w:r>
          <w:rPr>
            <w:color w:val="1155CC"/>
            <w:u w:val="single"/>
            <w:sz w:val="20"/>
          </w:rPr>
          <w:t xml:space="preserve">Hripcsak et al. OHDSI: Opportunities for Observational Researchers. Stud Health Technol Inform 2015</w:t>
        </w:r>
      </w:hyperlink>
      <w:r>
        <w:rPr>
          <w:sz w:val="21"/>
        </w:rPr>
        <w:t xml:space="preserve"> - the OHDSI community/tooling on the OMOP CDM that AoU data are modeled in.</w:t>
      </w:r>
    </w:p>
    <w:p>
      <w:pPr>
        <w:pStyle w:val="ListBullet"/>
      </w:pPr>
      <w:hyperlink r:id="rId61">
        <w:r>
          <w:rPr>
            <w:color w:val="1155CC"/>
            <w:u w:val="single"/>
            <w:sz w:val="20"/>
          </w:rPr>
          <w:t xml:space="preserve">Denny et al. PheWAS: Feasibility of a Phenome-Wide Scan to Discover Gene–Disease Associations. Bioinformatics 2010</w:t>
        </w:r>
      </w:hyperlink>
      <w:r>
        <w:rPr>
          <w:sz w:val="21"/>
        </w:rPr>
        <w:t xml:space="preserve"> - the original phenome-wide association method on EHR-derived phenotypes.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18">
        <w:r>
          <w:rPr>
            <w:color w:val="1155CC"/>
            <w:u w:val="single"/>
            <w:sz w:val="20"/>
          </w:rPr>
          <w:t xml:space="preserve">10.1093/bioinformatics/btq126</w:t>
        </w:r>
      </w:hyperlink>
    </w:p>
    <w:p>
      <w:pPr>
        <w:pStyle w:val="ListBullet"/>
      </w:pPr>
      <w:hyperlink r:id="rId62">
        <w:r>
          <w:rPr>
            <w:color w:val="1155CC"/>
            <w:u w:val="single"/>
            <w:sz w:val="20"/>
          </w:rPr>
          <w:t xml:space="preserve">Denny et al. Systematic Comparison of Phenome-Wide Association Study of EMR Data and GWAS Data. Nat Biotechnol 2013</w:t>
        </w:r>
      </w:hyperlink>
      <w:r>
        <w:rPr>
          <w:sz w:val="21"/>
        </w:rPr>
        <w:t xml:space="preserve"> - first large-scale PheWAS in EMRs.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63">
        <w:r>
          <w:rPr>
            <w:color w:val="1155CC"/>
            <w:u w:val="single"/>
            <w:sz w:val="20"/>
          </w:rPr>
          <w:t xml:space="preserve">10.1038/nbt.2749</w:t>
        </w:r>
      </w:hyperlink>
    </w:p>
    <w:p>
      <w:pPr>
        <w:pStyle w:val="ListBullet"/>
      </w:pPr>
      <w:hyperlink r:id="rId64">
        <w:r>
          <w:rPr>
            <w:color w:val="1155CC"/>
            <w:u w:val="single"/>
            <w:sz w:val="20"/>
          </w:rPr>
          <w:t xml:space="preserve">Kohane. Using Electronic Health Records to Drive Discovery in Disease Genomics. Nat Rev Genet 2011</w:t>
        </w:r>
      </w:hyperlink>
      <w:r>
        <w:rPr>
          <w:sz w:val="21"/>
        </w:rPr>
        <w:t xml:space="preserve"> - foundational review on repurposing EHR for genomic discovery.</w:t>
      </w:r>
    </w:p>
    <w:p>
      <w:pPr>
        <w:pStyle w:val="ListBullet"/>
      </w:pPr>
      <w:hyperlink r:id="rId65">
        <w:r>
          <w:rPr>
            <w:color w:val="1155CC"/>
            <w:u w:val="single"/>
            <w:sz w:val="20"/>
          </w:rPr>
          <w:t xml:space="preserve">Wei &amp; Denny. Extracting Research-Quality Phenotypes from EHRs to Support Precision Medicine. Genome Med 2015</w:t>
        </w:r>
      </w:hyperlink>
      <w:r>
        <w:rPr>
          <w:sz w:val="21"/>
        </w:rPr>
        <w:t xml:space="preserve"> - EHR phenotyping methods underpinning phenome-wide research.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66">
        <w:r>
          <w:rPr>
            <w:color w:val="1155CC"/>
            <w:u w:val="single"/>
            <w:sz w:val="20"/>
          </w:rPr>
          <w:t xml:space="preserve">10.1186/s13073-015-0166-y</w:t>
        </w:r>
      </w:hyperlink>
    </w:p>
    <w:p>
      <w:pPr>
        <w:pStyle w:val="ListBullet"/>
      </w:pPr>
      <w:hyperlink r:id="rId67">
        <w:r>
          <w:rPr>
            <w:color w:val="1155CC"/>
            <w:u w:val="single"/>
            <w:sz w:val="20"/>
          </w:rPr>
          <w:t xml:space="preserve">van Eck &amp; Waltman. VOSviewer, a Computer Program for Bibliometric Mapping. Scientometrics 2010</w:t>
        </w:r>
      </w:hyperlink>
      <w:r>
        <w:rPr>
          <w:sz w:val="21"/>
        </w:rPr>
        <w:t xml:space="preserve"> - standard tool for bibliometric/co-citation mapping (corpus method).</w:t>
      </w:r>
    </w:p>
    <w:p>
      <w:pPr>
        <w:pStyle w:val="ListBullet"/>
      </w:pPr>
      <w:hyperlink r:id="rId68">
        <w:r>
          <w:rPr>
            <w:color w:val="1155CC"/>
            <w:u w:val="single"/>
            <w:sz w:val="20"/>
          </w:rPr>
          <w:t xml:space="preserve">Boyack &amp; Klavans. Co-Citation, Bibliographic Coupling, and Direct Citation. JASIST 2010</w:t>
        </w:r>
      </w:hyperlink>
      <w:r>
        <w:rPr>
          <w:sz w:val="21"/>
        </w:rPr>
        <w:t xml:space="preserve"> - methodological benchmark for citation-based corpus mapping.</w:t>
      </w:r>
    </w:p>
    <w:p>
      <w:pPr>
        <w:pStyle w:val="ListBullet"/>
      </w:pPr>
      <w:hyperlink r:id="rId69">
        <w:r>
          <w:rPr>
            <w:color w:val="1155CC"/>
            <w:u w:val="single"/>
            <w:sz w:val="20"/>
          </w:rPr>
          <w:t xml:space="preserve">Blei, Ng &amp; Jordan. Latent Dirichlet Allocation. J Mach Learn Res 2003</w:t>
        </w:r>
      </w:hyperlink>
      <w:r>
        <w:rPr>
          <w:sz w:val="21"/>
        </w:rPr>
        <w:t xml:space="preserve"> - canonical topic-modeling method for thematic corpus analysis.</w:t>
      </w:r>
    </w:p>
    <w:p>
      <w:pPr>
        <w:pStyle w:val="Heading1"/>
      </w:pPr>
      <w:r>
        <w:t>3. Benchmarking against peer biobanks</w:t>
      </w:r>
    </w:p>
    <w:p>
      <w:pPr>
        <w:pStyle w:val="Heading2"/>
      </w:pPr>
      <w:r>
        <w:t>3.1 The comparator set</w:t>
      </w:r>
    </w:p>
    <w:p>
      <w:pPr>
        <w:pStyle w:val="ListBullet"/>
      </w:pPr>
      <w:hyperlink r:id="rId70">
        <w:r>
          <w:rPr>
            <w:color w:val="1155CC"/>
            <w:u w:val="single"/>
            <w:sz w:val="20"/>
          </w:rPr>
          <w:t xml:space="preserve">Sudlow et al. UK Biobank: an open access resource. PLoS Medicine 2015</w:t>
        </w:r>
      </w:hyperlink>
      <w:r>
        <w:rPr>
          <w:sz w:val="21"/>
        </w:rPr>
        <w:t xml:space="preserve"> - canonical UK Biobank cohort profile (500k, open-access); the primary comparator.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1">
        <w:r>
          <w:rPr>
            <w:color w:val="1155CC"/>
            <w:u w:val="single"/>
            <w:sz w:val="20"/>
          </w:rPr>
          <w:t xml:space="preserve">10.1371/journal.pmed.1001779</w:t>
        </w:r>
      </w:hyperlink>
    </w:p>
    <w:p>
      <w:pPr>
        <w:pStyle w:val="ListBullet"/>
      </w:pPr>
      <w:hyperlink r:id="rId71">
        <w:r>
          <w:rPr>
            <w:color w:val="1155CC"/>
            <w:u w:val="single"/>
            <w:sz w:val="20"/>
          </w:rPr>
          <w:t xml:space="preserve">Bycroft et al. The UK Biobank resource with deep phenotyping and genomic data. Nature 2018</w:t>
        </w:r>
      </w:hyperlink>
      <w:r>
        <w:rPr>
          <w:sz w:val="21"/>
        </w:rPr>
        <w:t xml:space="preserve"> - genotyping, imputation (~96M variants), QC; template for genomics-at-scale.</w:t>
      </w:r>
    </w:p>
    <w:p>
      <w:pPr>
        <w:pStyle w:val="ListBullet"/>
      </w:pPr>
      <w:hyperlink r:id="rId72">
        <w:r>
          <w:rPr>
            <w:color w:val="1155CC"/>
            <w:u w:val="single"/>
            <w:sz w:val="20"/>
          </w:rPr>
          <w:t xml:space="preserve">Gaziano et al. Million Veteran Program: a mega-biobank. J Clin Epidemiol 2016</w:t>
        </w:r>
      </w:hyperlink>
      <w:r>
        <w:rPr>
          <w:sz w:val="21"/>
        </w:rPr>
        <w:t xml:space="preserve"> - VA MVP design; an EHR-linked health-system biobank comparator.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2">
        <w:r>
          <w:rPr>
            <w:color w:val="1155CC"/>
            <w:u w:val="single"/>
            <w:sz w:val="20"/>
          </w:rPr>
          <w:t xml:space="preserve">10.1016/j.jclinepi.2015.09.016</w:t>
        </w:r>
      </w:hyperlink>
    </w:p>
    <w:p>
      <w:pPr>
        <w:pStyle w:val="ListBullet"/>
      </w:pPr>
      <w:hyperlink r:id="rId73">
        <w:r>
          <w:rPr>
            <w:color w:val="1155CC"/>
            <w:u w:val="single"/>
            <w:sz w:val="20"/>
          </w:rPr>
          <w:t xml:space="preserve">Kurki et al. FinnGen: genetic insights from a well-phenotyped isolated population. Nature 2023</w:t>
        </w:r>
      </w:hyperlink>
      <w:r>
        <w:rPr>
          <w:sz w:val="21"/>
        </w:rPr>
        <w:t xml:space="preserve"> - ~429k samples linked to national registers; the founder-population comparator.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3">
        <w:r>
          <w:rPr>
            <w:color w:val="1155CC"/>
            <w:u w:val="single"/>
            <w:sz w:val="20"/>
          </w:rPr>
          <w:t xml:space="preserve">10.1038/s41586-022-05473-8</w:t>
        </w:r>
      </w:hyperlink>
    </w:p>
    <w:p>
      <w:pPr>
        <w:pStyle w:val="ListBullet"/>
      </w:pPr>
      <w:hyperlink r:id="rId74">
        <w:r>
          <w:rPr>
            <w:color w:val="1155CC"/>
            <w:u w:val="single"/>
            <w:sz w:val="20"/>
          </w:rPr>
          <w:t xml:space="preserve">Chen et al. China Kadoorie Biobank of 0.5 million people. Int J Epidemiol 2011</w:t>
        </w:r>
      </w:hyperlink>
      <w:r>
        <w:rPr>
          <w:sz w:val="21"/>
        </w:rPr>
        <w:t xml:space="preserve"> - CKB cohort profile; the large non-Western comparator.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4">
        <w:r>
          <w:rPr>
            <w:color w:val="1155CC"/>
            <w:u w:val="single"/>
            <w:sz w:val="20"/>
          </w:rPr>
          <w:t xml:space="preserve">10.1093/ije/dyr120</w:t>
        </w:r>
      </w:hyperlink>
    </w:p>
    <w:p>
      <w:pPr>
        <w:pStyle w:val="Heading2"/>
      </w:pPr>
      <w:r>
        <w:t>3.2 Distinctive strengths &amp; discovery at scale</w:t>
      </w:r>
    </w:p>
    <w:p>
      <w:pPr>
        <w:pStyle w:val="ListBullet"/>
      </w:pPr>
      <w:hyperlink r:id="rId75">
        <w:r>
          <w:rPr>
            <w:color w:val="1155CC"/>
            <w:u w:val="single"/>
            <w:sz w:val="20"/>
          </w:rPr>
          <w:t xml:space="preserve">Backman et al. Exome sequencing of 454,787 UK Biobank participants. Nature 2021</w:t>
        </w:r>
      </w:hyperlink>
      <w:r>
        <w:rPr>
          <w:sz w:val="21"/>
        </w:rPr>
        <w:t xml:space="preserve"> - landmark biobank-scale exome resource.</w:t>
      </w:r>
    </w:p>
    <w:p>
      <w:pPr>
        <w:pStyle w:val="ListBullet"/>
      </w:pPr>
      <w:hyperlink r:id="rId76">
        <w:r>
          <w:rPr>
            <w:color w:val="1155CC"/>
            <w:u w:val="single"/>
            <w:sz w:val="20"/>
          </w:rPr>
          <w:t xml:space="preserve">Halldorsson et al. The sequences of 150,119 genomes in the UK Biobank. Nature 2022</w:t>
        </w:r>
      </w:hyperlink>
      <w:r>
        <w:rPr>
          <w:sz w:val="21"/>
        </w:rPr>
        <w:t xml:space="preserve"> - biobank-scale WGS; benchmark for the WGS resource AoU also delivers.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77">
        <w:r>
          <w:rPr>
            <w:color w:val="1155CC"/>
            <w:u w:val="single"/>
            <w:sz w:val="20"/>
          </w:rPr>
          <w:t xml:space="preserve">10.1038/s41586-022-04965-x</w:t>
        </w:r>
      </w:hyperlink>
    </w:p>
    <w:p>
      <w:pPr>
        <w:pStyle w:val="ListBullet"/>
      </w:pPr>
      <w:hyperlink r:id="rId78">
        <w:r>
          <w:rPr>
            <w:color w:val="1155CC"/>
            <w:u w:val="single"/>
            <w:sz w:val="20"/>
          </w:rPr>
          <w:t xml:space="preserve">Verma et al. Diversity and scale: genetic architecture of 2,068 traits in the MVP. Science 2024</w:t>
        </w:r>
      </w:hyperlink>
      <w:r>
        <w:rPr>
          <w:sz w:val="21"/>
        </w:rPr>
        <w:t xml:space="preserve"> - multi-ancestry GWAS atlas (635,969); the discovery case for diverse biobanks.</w:t>
      </w:r>
    </w:p>
    <w:p>
      <w:pPr>
        <w:pStyle w:val="ListBullet"/>
      </w:pPr>
      <w:hyperlink r:id="rId79">
        <w:r>
          <w:rPr>
            <w:color w:val="1155CC"/>
            <w:u w:val="single"/>
            <w:sz w:val="20"/>
          </w:rPr>
          <w:t xml:space="preserve">Wojcik et al. Genetic analyses of diverse populations improves discovery for complex traits. Nature 2019</w:t>
        </w:r>
      </w:hyperlink>
      <w:r>
        <w:rPr>
          <w:sz w:val="21"/>
        </w:rPr>
        <w:t xml:space="preserve"> - PAGE study; diverse samples surface variants missed in European-only studies.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80">
        <w:r>
          <w:rPr>
            <w:color w:val="1155CC"/>
            <w:u w:val="single"/>
            <w:sz w:val="20"/>
          </w:rPr>
          <w:t xml:space="preserve">10.1038/s41586-019-1310-4</w:t>
        </w:r>
      </w:hyperlink>
    </w:p>
    <w:p>
      <w:pPr>
        <w:pStyle w:val="ListBullet"/>
      </w:pPr>
      <w:hyperlink r:id="rId81">
        <w:r>
          <w:rPr>
            <w:color w:val="1155CC"/>
            <w:u w:val="single"/>
            <w:sz w:val="20"/>
          </w:rPr>
          <w:t xml:space="preserve">Zhou et al. Global Biobank Meta-analysis Initiative. Cell Genomics 2022</w:t>
        </w:r>
      </w:hyperlink>
      <w:r>
        <w:rPr>
          <w:sz w:val="21"/>
        </w:rPr>
        <w:t xml:space="preserve"> - cross-biobank harmonization/comparison framework (23 biobanks).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82">
        <w:r>
          <w:rPr>
            <w:color w:val="1155CC"/>
            <w:u w:val="single"/>
            <w:sz w:val="20"/>
          </w:rPr>
          <w:t xml:space="preserve">10.1016/j.xgen.2022.100192</w:t>
        </w:r>
      </w:hyperlink>
    </w:p>
    <w:p>
      <w:pPr>
        <w:pStyle w:val="Heading2"/>
      </w:pPr>
      <w:r>
        <w:t>3.3 Gaps, diversity &amp; representativeness</w:t>
      </w:r>
    </w:p>
    <w:p>
      <w:pPr>
        <w:pStyle w:val="ListBullet"/>
      </w:pPr>
      <w:hyperlink r:id="rId83">
        <w:r>
          <w:rPr>
            <w:color w:val="1155CC"/>
            <w:u w:val="single"/>
            <w:sz w:val="20"/>
          </w:rPr>
          <w:t xml:space="preserve">Sirugo et al. The Missing Diversity in Human Genetic Studies. Cell 2019</w:t>
        </w:r>
      </w:hyperlink>
      <w:r>
        <w:rPr>
          <w:sz w:val="21"/>
        </w:rPr>
        <w:t xml:space="preserve"> - the ancestry-imbalance statement (~78% of GWAS participants European) and its costs.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5">
        <w:r>
          <w:rPr>
            <w:color w:val="1155CC"/>
            <w:u w:val="single"/>
            <w:sz w:val="20"/>
          </w:rPr>
          <w:t xml:space="preserve">10.1016/j.cell.2019.02.048</w:t>
        </w:r>
      </w:hyperlink>
    </w:p>
    <w:p>
      <w:pPr>
        <w:pStyle w:val="ListBullet"/>
      </w:pPr>
      <w:hyperlink r:id="rId26">
        <w:r>
          <w:rPr>
            <w:color w:val="1155CC"/>
            <w:u w:val="single"/>
            <w:sz w:val="20"/>
          </w:rPr>
          <w:t xml:space="preserve">Martin et al. Clinical use of current polygenic risk scores may exacerbate health disparities. Nat Genet 2019</w:t>
        </w:r>
      </w:hyperlink>
      <w:r>
        <w:rPr>
          <w:sz w:val="21"/>
        </w:rPr>
        <w:t xml:space="preserve"> - PRS far more accurate in European-ancestry individuals; the equity argument for AoU.</w:t>
      </w:r>
    </w:p>
    <w:p>
      <w:pPr>
        <w:pStyle w:val="ListBullet"/>
      </w:pPr>
      <w:hyperlink r:id="rId84">
        <w:r>
          <w:rPr>
            <w:color w:val="1155CC"/>
            <w:u w:val="single"/>
            <w:sz w:val="20"/>
          </w:rPr>
          <w:t xml:space="preserve">Popejoy &amp; Fullerton. Genomics is failing on diversity. Nature 2016</w:t>
        </w:r>
      </w:hyperlink>
      <w:r>
        <w:rPr>
          <w:sz w:val="21"/>
        </w:rPr>
        <w:t xml:space="preserve"> - early audit of non-European underrepresentation; frames the gap AoU set out to close.</w:t>
      </w:r>
    </w:p>
    <w:p>
      <w:pPr>
        <w:pStyle w:val="ListBullet"/>
      </w:pPr>
      <w:hyperlink r:id="rId85">
        <w:r>
          <w:rPr>
            <w:color w:val="1155CC"/>
            <w:u w:val="single"/>
            <w:sz w:val="20"/>
          </w:rPr>
          <w:t xml:space="preserve">Fry et al. Comparison of UK Biobank participants with the general population. Am J Epidemiol 2017</w:t>
        </w:r>
      </w:hyperlink>
      <w:r>
        <w:rPr>
          <w:sz w:val="21"/>
        </w:rPr>
        <w:t xml:space="preserve"> - 5.5% response rate and healthy-volunteer bias; the representativeness caveat for mega-biobanks.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7">
        <w:r>
          <w:rPr>
            <w:color w:val="1155CC"/>
            <w:u w:val="single"/>
            <w:sz w:val="20"/>
          </w:rPr>
          <w:t xml:space="preserve">10.1093/aje/kwx246</w:t>
        </w:r>
      </w:hyperlink>
    </w:p>
    <w:p>
      <w:pPr>
        <w:pStyle w:val="ListBullet"/>
      </w:pPr>
      <w:hyperlink r:id="rId86">
        <w:r>
          <w:rPr>
            <w:color w:val="1155CC"/>
            <w:u w:val="single"/>
            <w:sz w:val="20"/>
          </w:rPr>
          <w:t xml:space="preserve">Mills &amp; Rahal. A scientometric review of genome-wide association studies. Commun Biol 2019</w:t>
        </w:r>
      </w:hyperlink>
      <w:r>
        <w:rPr>
          <w:sz w:val="21"/>
        </w:rPr>
        <w:t xml:space="preserve"> - GWAS bibliometrics showing persistent European dominance; the biobank-bibliometrics anchor.</w:t>
      </w:r>
    </w:p>
    <w:p>
      <w:pPr>
        <w:pStyle w:val="Heading2"/>
      </w:pPr>
      <w:r>
        <w:t>3.4 Interpretation</w:t>
      </w:r>
    </w:p>
    <w:p>
      <w:pPr>
        <w:pStyle w:val="ListBullet"/>
      </w:pPr>
      <w:r>
        <w:rPr>
          <w:sz w:val="21"/>
        </w:rPr>
        <w:t>*AoU NEJM 2019* - the diversity-first rationale that motivates benchmarking against the above.</w:t>
      </w:r>
    </w:p>
    <w:p>
      <w:pPr>
        <w:pStyle w:val="Heading1"/>
      </w:pPr>
      <w:r>
        <w:t>4. Emerging scientific frontiers and AoU white space</w:t>
      </w:r>
    </w:p>
    <w:p>
      <w:pPr>
        <w:pStyle w:val="Heading2"/>
      </w:pPr>
      <w:r>
        <w:t>4.1 AI foundation models in medicine (LLMs, clinical &amp; agentic AI)</w:t>
      </w:r>
    </w:p>
    <w:p>
      <w:pPr>
        <w:pStyle w:val="ListBullet"/>
      </w:pPr>
      <w:hyperlink r:id="rId87">
        <w:r>
          <w:rPr>
            <w:color w:val="1155CC"/>
            <w:u w:val="single"/>
            <w:sz w:val="20"/>
          </w:rPr>
          <w:t xml:space="preserve">Moor et al. Foundation models for generalist medical AI. Nature 2023</w:t>
        </w:r>
      </w:hyperlink>
      <w:r>
        <w:rPr>
          <w:sz w:val="21"/>
        </w:rPr>
        <w:t xml:space="preserve"> - defines "generalist medical AI"; the conceptual anchor for the frontier.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8">
        <w:r>
          <w:rPr>
            <w:color w:val="1155CC"/>
            <w:u w:val="single"/>
            <w:sz w:val="20"/>
          </w:rPr>
          <w:t xml:space="preserve">10.1038/s41586-023-05881-4</w:t>
        </w:r>
      </w:hyperlink>
    </w:p>
    <w:p>
      <w:pPr>
        <w:pStyle w:val="ListBullet"/>
      </w:pPr>
      <w:hyperlink r:id="rId88">
        <w:r>
          <w:rPr>
            <w:color w:val="1155CC"/>
            <w:u w:val="single"/>
            <w:sz w:val="20"/>
          </w:rPr>
          <w:t xml:space="preserve">Singhal et al. Large language models encode clinical knowledge. Nature 2023</w:t>
        </w:r>
      </w:hyperlink>
      <w:r>
        <w:rPr>
          <w:sz w:val="21"/>
        </w:rPr>
        <w:t xml:space="preserve"> - Med-PaLM/MultiMedQA; LLMs reach near-expert medical QA with a safety-evaluation framework.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29">
        <w:r>
          <w:rPr>
            <w:color w:val="1155CC"/>
            <w:u w:val="single"/>
            <w:sz w:val="20"/>
          </w:rPr>
          <w:t xml:space="preserve">10.1038/s41586-023-06291-2</w:t>
        </w:r>
      </w:hyperlink>
    </w:p>
    <w:p>
      <w:pPr>
        <w:pStyle w:val="ListBullet"/>
      </w:pPr>
      <w:hyperlink r:id="rId89">
        <w:r>
          <w:rPr>
            <w:color w:val="1155CC"/>
            <w:u w:val="single"/>
            <w:sz w:val="20"/>
          </w:rPr>
          <w:t xml:space="preserve">Nori et al. Capabilities of GPT-4 on Medical Challenge Problems. arXiv 2023</w:t>
        </w:r>
      </w:hyperlink>
      <w:r>
        <w:rPr>
          <w:sz w:val="21"/>
        </w:rPr>
        <w:t xml:space="preserve"> </w:t>
      </w:r>
      <w:r>
        <w:rPr>
          <w:rFonts w:ascii="Courier New" w:hAnsi="Courier New"/>
          <w:sz w:val="21"/>
        </w:rPr>
        <w:t>[preprint]</w:t>
      </w:r>
      <w:r>
        <w:rPr>
          <w:sz w:val="21"/>
        </w:rPr>
        <w:t xml:space="preserve"> - general-purpose GPT-4 exceeds USMLE passing score without fine-tuning.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90">
        <w:r>
          <w:rPr>
            <w:color w:val="1155CC"/>
            <w:u w:val="single"/>
            <w:sz w:val="20"/>
          </w:rPr>
          <w:t xml:space="preserve">10.48550/arXiv.2303.13375</w:t>
        </w:r>
      </w:hyperlink>
    </w:p>
    <w:p>
      <w:pPr>
        <w:pStyle w:val="ListBullet"/>
      </w:pPr>
      <w:hyperlink r:id="rId91">
        <w:r>
          <w:rPr>
            <w:color w:val="1155CC"/>
            <w:u w:val="single"/>
            <w:sz w:val="20"/>
          </w:rPr>
          <w:t xml:space="preserve">Kung et al. Performance of ChatGPT on USMLE. PLOS Digit Health 2023</w:t>
        </w:r>
      </w:hyperlink>
      <w:r>
        <w:rPr>
          <w:sz w:val="21"/>
        </w:rPr>
        <w:t xml:space="preserve"> - early demonstration of LLM at USMLE threshold; catalyzed clinical-LLM interest.</w:t>
      </w:r>
    </w:p>
    <w:p>
      <w:pPr>
        <w:pStyle w:val="ListBullet"/>
      </w:pPr>
      <w:hyperlink r:id="rId92">
        <w:r>
          <w:rPr>
            <w:color w:val="1155CC"/>
            <w:u w:val="single"/>
            <w:sz w:val="20"/>
          </w:rPr>
          <w:t xml:space="preserve">Tu et al. Towards conversational diagnostic artificial intelligence. Nature 2025</w:t>
        </w:r>
      </w:hyperlink>
      <w:r>
        <w:rPr>
          <w:sz w:val="21"/>
        </w:rPr>
        <w:t xml:space="preserve"> - AMIE diagnostic-dialogue agent; frontier of agentic clinical AI.</w:t>
      </w:r>
    </w:p>
    <w:p>
      <w:pPr>
        <w:pStyle w:val="ListBullet"/>
      </w:pPr>
      <w:hyperlink r:id="rId93">
        <w:r>
          <w:rPr>
            <w:color w:val="1155CC"/>
            <w:u w:val="single"/>
            <w:sz w:val="20"/>
          </w:rPr>
          <w:t xml:space="preserve">Mehandru et al. Evaluating large language models as agents in the clinic. npj Digit Med 2024</w:t>
        </w:r>
      </w:hyperlink>
      <w:r>
        <w:rPr>
          <w:sz w:val="21"/>
        </w:rPr>
        <w:t xml:space="preserve"> - argues LLM agents be judged by workflow impact, not exam benchmarks.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94">
        <w:r>
          <w:rPr>
            <w:color w:val="1155CC"/>
            <w:u w:val="single"/>
            <w:sz w:val="20"/>
          </w:rPr>
          <w:t xml:space="preserve">10.1038/s41746-024-01083-y</w:t>
        </w:r>
      </w:hyperlink>
    </w:p>
    <w:p>
      <w:pPr>
        <w:pStyle w:val="Heading2"/>
      </w:pPr>
      <w:r>
        <w:t>4.2 Genomic / DNA sequence foundation models</w:t>
      </w:r>
    </w:p>
    <w:p>
      <w:pPr>
        <w:pStyle w:val="ListBullet"/>
      </w:pPr>
      <w:hyperlink r:id="rId30">
        <w:r>
          <w:rPr>
            <w:color w:val="1155CC"/>
            <w:u w:val="single"/>
            <w:sz w:val="20"/>
          </w:rPr>
          <w:t xml:space="preserve">Dalla-Torre et al. Nucleotide Transformer: robust foundation models for human genomics. Nat Methods 2025</w:t>
        </w:r>
      </w:hyperlink>
      <w:r>
        <w:rPr>
          <w:sz w:val="21"/>
        </w:rPr>
        <w:t xml:space="preserve"> - benchmark-setting DNA language models (50M–2.5B params).</w:t>
      </w:r>
    </w:p>
    <w:p>
      <w:pPr>
        <w:pStyle w:val="ListBullet"/>
      </w:pPr>
      <w:hyperlink r:id="rId95">
        <w:r>
          <w:rPr>
            <w:color w:val="1155CC"/>
            <w:u w:val="single"/>
            <w:sz w:val="20"/>
          </w:rPr>
          <w:t xml:space="preserve">Ji et al. DNABERT. Bioinformatics 2021</w:t>
        </w:r>
      </w:hyperlink>
      <w:r>
        <w:rPr>
          <w:sz w:val="21"/>
        </w:rPr>
        <w:t xml:space="preserve"> - foundational transformer establishing DNA-as-language pretraining.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96">
        <w:r>
          <w:rPr>
            <w:color w:val="1155CC"/>
            <w:u w:val="single"/>
            <w:sz w:val="20"/>
          </w:rPr>
          <w:t xml:space="preserve">10.1093/bioinformatics/btab083</w:t>
        </w:r>
      </w:hyperlink>
    </w:p>
    <w:p>
      <w:pPr>
        <w:pStyle w:val="ListBullet"/>
      </w:pPr>
      <w:hyperlink r:id="rId31">
        <w:r>
          <w:rPr>
            <w:color w:val="1155CC"/>
            <w:u w:val="single"/>
            <w:sz w:val="20"/>
          </w:rPr>
          <w:t xml:space="preserve">Nguyen et al. Sequence modeling and design from molecular to genome scale with Evo. Science 2024</w:t>
        </w:r>
      </w:hyperlink>
      <w:r>
        <w:rPr>
          <w:sz w:val="21"/>
        </w:rPr>
        <w:t xml:space="preserve"> - 7B-param genomic model, 131k context; zero-shot function prediction and design.</w:t>
      </w:r>
    </w:p>
    <w:p>
      <w:pPr>
        <w:pStyle w:val="ListBullet"/>
      </w:pPr>
      <w:hyperlink r:id="rId97">
        <w:r>
          <w:rPr>
            <w:color w:val="1155CC"/>
            <w:u w:val="single"/>
            <w:sz w:val="20"/>
          </w:rPr>
          <w:t xml:space="preserve">Brixi et al. Genome modeling and design across all domains of life with Evo 2. bioRxiv 2025</w:t>
        </w:r>
      </w:hyperlink>
      <w:r>
        <w:rPr>
          <w:sz w:val="21"/>
        </w:rPr>
        <w:t xml:space="preserve"> </w:t>
      </w:r>
      <w:r>
        <w:rPr>
          <w:rFonts w:ascii="Courier New" w:hAnsi="Courier New"/>
          <w:sz w:val="21"/>
        </w:rPr>
        <w:t>[preprint]</w:t>
      </w:r>
      <w:r>
        <w:rPr>
          <w:sz w:val="21"/>
        </w:rPr>
        <w:t xml:space="preserve"> - 7B/40B, 1Mb context; variant-effect prediction without fine-tuning. *(confirm journal version before submission)*</w:t>
      </w:r>
    </w:p>
    <w:p>
      <w:pPr>
        <w:pStyle w:val="Heading2"/>
      </w:pPr>
      <w:r>
        <w:t>4.3 Multimodal modeling &amp; data integration</w:t>
      </w:r>
    </w:p>
    <w:p>
      <w:pPr>
        <w:pStyle w:val="ListBullet"/>
      </w:pPr>
      <w:hyperlink r:id="rId32">
        <w:r>
          <w:rPr>
            <w:color w:val="1155CC"/>
            <w:u w:val="single"/>
            <w:sz w:val="20"/>
          </w:rPr>
          <w:t xml:space="preserve">Acosta et al. Multimodal biomedical AI. Nature Medicine 2022</w:t>
        </w:r>
      </w:hyperlink>
      <w:r>
        <w:rPr>
          <w:sz w:val="21"/>
        </w:rPr>
        <w:t xml:space="preserve"> - review of fusing biobank, EHR, imaging, biosensor, and omics data; directly relevant to AoU's integrated data.</w:t>
      </w:r>
    </w:p>
    <w:p>
      <w:pPr>
        <w:pStyle w:val="ListBullet"/>
      </w:pPr>
      <w:hyperlink r:id="rId98">
        <w:r>
          <w:rPr>
            <w:color w:val="1155CC"/>
            <w:u w:val="single"/>
            <w:sz w:val="20"/>
          </w:rPr>
          <w:t xml:space="preserve">Boehm et al. Harnessing multimodal data integration to advance precision oncology. Nat Rev Cancer 2022</w:t>
        </w:r>
      </w:hyperlink>
      <w:r>
        <w:rPr>
          <w:sz w:val="21"/>
        </w:rPr>
        <w:t xml:space="preserve"> - integration of molecular/imaging/clinical modalities and its interoperability barriers.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99">
        <w:r>
          <w:rPr>
            <w:color w:val="1155CC"/>
            <w:u w:val="single"/>
            <w:sz w:val="20"/>
          </w:rPr>
          <w:t xml:space="preserve">10.1038/s41568-021-00408-3</w:t>
        </w:r>
      </w:hyperlink>
    </w:p>
    <w:p>
      <w:pPr>
        <w:pStyle w:val="Heading2"/>
      </w:pPr>
      <w:r>
        <w:t>4.4 Disease-definition &amp; methods shifts</w:t>
      </w:r>
    </w:p>
    <w:p>
      <w:pPr>
        <w:pStyle w:val="ListBullet"/>
      </w:pPr>
      <w:hyperlink r:id="rId33">
        <w:r>
          <w:rPr>
            <w:color w:val="1155CC"/>
            <w:u w:val="single"/>
            <w:sz w:val="20"/>
          </w:rPr>
          <w:t xml:space="preserve">Rinella et al. A multisociety Delphi consensus statement on new fatty liver disease nomenclature. Hepatology 2023</w:t>
        </w:r>
      </w:hyperlink>
      <w:r>
        <w:rPr>
          <w:sz w:val="21"/>
        </w:rPr>
        <w:t xml:space="preserve"> - NAFLD→MASLD / NASH→MASH; redefines phenotyping for cohort studies.</w:t>
      </w:r>
    </w:p>
    <w:p>
      <w:pPr>
        <w:pStyle w:val="ListBullet"/>
      </w:pPr>
      <w:hyperlink r:id="rId100">
        <w:r>
          <w:rPr>
            <w:color w:val="1155CC"/>
            <w:u w:val="single"/>
            <w:sz w:val="20"/>
          </w:rPr>
          <w:t xml:space="preserve">Harrison et al. A Phase 3 Trial of Resmetirom in NASH with Liver Fibrosis (MAESTRO-NASH). N Engl J Med 2024</w:t>
        </w:r>
      </w:hyperlink>
      <w:r>
        <w:rPr>
          <w:sz w:val="21"/>
        </w:rPr>
        <w:t xml:space="preserve"> - first phase-3 success; marks MASH as an actionable entity.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101">
        <w:r>
          <w:rPr>
            <w:color w:val="1155CC"/>
            <w:u w:val="single"/>
            <w:sz w:val="20"/>
          </w:rPr>
          <w:t xml:space="preserve">10.1056/NEJMoa2309000</w:t>
        </w:r>
      </w:hyperlink>
    </w:p>
    <w:p>
      <w:pPr>
        <w:pStyle w:val="ListBullet"/>
      </w:pPr>
      <w:hyperlink r:id="rId102">
        <w:r>
          <w:rPr>
            <w:color w:val="1155CC"/>
            <w:u w:val="single"/>
            <w:sz w:val="20"/>
          </w:rPr>
          <w:t xml:space="preserve">Hernán &amp; Robins. Using Big Data to Emulate a Target Trial When a Randomized Trial Is Not Available. Am J Epidemiol 2016</w:t>
        </w:r>
      </w:hyperlink>
      <w:r>
        <w:rPr>
          <w:sz w:val="21"/>
        </w:rPr>
        <w:t xml:space="preserve"> - the founding target-trial-emulation framework; causal-inference anchor for EHR.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34">
        <w:r>
          <w:rPr>
            <w:color w:val="1155CC"/>
            <w:u w:val="single"/>
            <w:sz w:val="20"/>
          </w:rPr>
          <w:t xml:space="preserve">10.1093/aje/kwv254</w:t>
        </w:r>
      </w:hyperlink>
    </w:p>
    <w:p>
      <w:pPr>
        <w:pStyle w:val="ListBullet"/>
      </w:pPr>
      <w:hyperlink r:id="rId103">
        <w:r>
          <w:rPr>
            <w:color w:val="1155CC"/>
            <w:u w:val="single"/>
            <w:sz w:val="20"/>
          </w:rPr>
          <w:t xml:space="preserve">Hubbard et al. Target Trial Emulation for Observational Studies - Potential and Pitfalls. N Engl J Med 2024</w:t>
        </w:r>
      </w:hyperlink>
      <w:r>
        <w:rPr>
          <w:sz w:val="21"/>
        </w:rPr>
        <w:t xml:space="preserve"> - strengths and biases of TTE on EHR/claims.</w:t>
      </w:r>
    </w:p>
    <w:p>
      <w:pPr>
        <w:pStyle w:val="Heading2"/>
      </w:pPr>
      <w:r>
        <w:t>4.5 Frontiers needing assays AoU lacks ("partner, don't chase")</w:t>
      </w:r>
    </w:p>
    <w:p>
      <w:pPr>
        <w:pStyle w:val="ListBullet"/>
      </w:pPr>
      <w:hyperlink r:id="rId104">
        <w:r>
          <w:rPr>
            <w:color w:val="1155CC"/>
            <w:u w:val="single"/>
            <w:sz w:val="20"/>
          </w:rPr>
          <w:t xml:space="preserve">Jumper et al. Highly accurate protein structure prediction with AlphaFold. Nature 2021</w:t>
        </w:r>
      </w:hyperlink>
      <w:r>
        <w:rPr>
          <w:sz w:val="21"/>
        </w:rPr>
        <w:t xml:space="preserve"> - AlphaFold2; a frontier to leverage, not reproduce.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35">
        <w:r>
          <w:rPr>
            <w:color w:val="1155CC"/>
            <w:u w:val="single"/>
            <w:sz w:val="20"/>
          </w:rPr>
          <w:t xml:space="preserve">10.1038/s41586-021-03819-2</w:t>
        </w:r>
      </w:hyperlink>
    </w:p>
    <w:p>
      <w:pPr>
        <w:pStyle w:val="ListBullet"/>
      </w:pPr>
      <w:hyperlink r:id="rId105">
        <w:r>
          <w:rPr>
            <w:color w:val="1155CC"/>
            <w:u w:val="single"/>
            <w:sz w:val="20"/>
          </w:rPr>
          <w:t xml:space="preserve">Abramson et al. Accurate structure prediction of biomolecular interactions with AlphaFold 3. Nature 2024</w:t>
        </w:r>
      </w:hyperlink>
      <w:r>
        <w:rPr>
          <w:sz w:val="21"/>
        </w:rPr>
        <w:t xml:space="preserve"> - extends to protein–ligand/nucleic-acid complexes.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106">
        <w:r>
          <w:rPr>
            <w:color w:val="1155CC"/>
            <w:u w:val="single"/>
            <w:sz w:val="20"/>
          </w:rPr>
          <w:t xml:space="preserve">10.1038/s41586-024-07487-w</w:t>
        </w:r>
      </w:hyperlink>
    </w:p>
    <w:p>
      <w:pPr>
        <w:pStyle w:val="ListBullet"/>
      </w:pPr>
      <w:hyperlink r:id="rId107">
        <w:r>
          <w:rPr>
            <w:color w:val="1155CC"/>
            <w:u w:val="single"/>
            <w:sz w:val="20"/>
          </w:rPr>
          <w:t xml:space="preserve">Marx. Method of the Year 2020: spatially resolved transcriptomics. Nature Methods 2021</w:t>
        </w:r>
      </w:hyperlink>
      <w:r>
        <w:rPr>
          <w:sz w:val="21"/>
        </w:rPr>
        <w:t xml:space="preserve"> - a tissue-assay frontier beyond a population cohort's sample types.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108">
        <w:r>
          <w:rPr>
            <w:color w:val="1155CC"/>
            <w:u w:val="single"/>
            <w:sz w:val="20"/>
          </w:rPr>
          <w:t xml:space="preserve">10.1038/s41592-020-01033-y</w:t>
        </w:r>
      </w:hyperlink>
    </w:p>
    <w:p>
      <w:pPr>
        <w:pStyle w:val="ListBullet"/>
      </w:pPr>
      <w:hyperlink r:id="rId109">
        <w:r>
          <w:rPr>
            <w:color w:val="1155CC"/>
            <w:u w:val="single"/>
            <w:sz w:val="20"/>
          </w:rPr>
          <w:t xml:space="preserve">Regev et al. The Human Cell Atlas. eLife 2017</w:t>
        </w:r>
      </w:hyperlink>
      <w:r>
        <w:rPr>
          <w:sz w:val="21"/>
        </w:rPr>
        <w:t xml:space="preserve"> - the single-cell reference effort AoU can align to rather than duplicate.</w:t>
      </w:r>
    </w:p>
    <w:p>
      <w:pPr>
        <w:pStyle w:val="ListBullet"/>
      </w:pPr>
      <w:hyperlink r:id="rId110">
        <w:r>
          <w:rPr>
            <w:color w:val="1155CC"/>
            <w:u w:val="single"/>
            <w:sz w:val="20"/>
          </w:rPr>
          <w:t xml:space="preserve">The Tabula Sapiens Consortium. The Tabula Sapiens single-cell transcriptomic atlas of humans. Science 2022</w:t>
        </w:r>
      </w:hyperlink>
      <w:r>
        <w:rPr>
          <w:sz w:val="21"/>
        </w:rPr>
        <w:t xml:space="preserve"> - ~500k cells / 24 tissues; requires assays AoU does not collect. · </w:t>
      </w:r>
      <w:r>
        <w:rPr>
          <w:b/>
          <w:sz w:val="21"/>
        </w:rPr>
        <w:t>DOI:</w:t>
      </w:r>
      <w:r>
        <w:rPr>
          <w:sz w:val="21"/>
        </w:rPr>
        <w:t xml:space="preserve"> </w:t>
      </w:r>
      <w:hyperlink r:id="rId111">
        <w:r>
          <w:rPr>
            <w:color w:val="1155CC"/>
            <w:u w:val="single"/>
            <w:sz w:val="20"/>
          </w:rPr>
          <w:t xml:space="preserve">10.1126/science.abl4896</w:t>
        </w:r>
      </w:hyperlink>
    </w:p>
    <w:p>
      <w:pPr>
        <w:pStyle w:val="Heading1"/>
      </w:pPr>
      <w:r>
        <w:t>5. The analysis platform: the Researcher Workbench</w:t>
      </w:r>
    </w:p>
    <w:p>
      <w:pPr>
        <w:pStyle w:val="Heading2"/>
      </w:pPr>
      <w:r>
        <w:t>5.1 Secure analysis platforms / data commons</w:t>
      </w:r>
    </w:p>
    <w:p>
      <w:pPr>
        <w:pStyle w:val="ListBullet"/>
      </w:pPr>
      <w:r>
        <w:rPr>
          <w:sz w:val="21"/>
        </w:rPr>
        <w:t xml:space="preserve">*Haendel et al. N3C. JAMIA 2021* (see Anchor seeds) - the secure governed enclave model. </w:t>
      </w:r>
      <w:r>
        <w:rPr>
          <w:b/>
          <w:sz w:val="21"/>
        </w:rPr>
        <w:t>[Author-group]</w:t>
      </w:r>
    </w:p>
    <w:p>
      <w:pPr>
        <w:pStyle w:val="ListBullet"/>
      </w:pPr>
      <w:r>
        <w:rPr>
          <w:sz w:val="21"/>
        </w:rPr>
        <w:t>*Ramirez et al. Patterns 2022* - the cloud-based Researcher Workbench and data-passport access model.</w:t>
      </w:r>
    </w:p>
    <w:p>
      <w:pPr>
        <w:pStyle w:val="ListBullet"/>
      </w:pPr>
      <w:hyperlink r:id="rId37">
        <w:r>
          <w:rPr>
            <w:color w:val="1155CC"/>
            <w:u w:val="single"/>
            <w:sz w:val="20"/>
          </w:rPr>
          <w:t xml:space="preserve">Schatz et al. Inverting the model of genomics data sharing with the NHGRI AnVIL. Cell Genomics 2022</w:t>
        </w:r>
      </w:hyperlink>
      <w:r>
        <w:rPr>
          <w:sz w:val="21"/>
        </w:rPr>
        <w:t xml:space="preserve"> - canonical AnVIL "bring-compute-to-data" paper.</w:t>
      </w:r>
    </w:p>
    <w:p>
      <w:pPr>
        <w:pStyle w:val="ListBullet"/>
      </w:pPr>
      <w:hyperlink r:id="rId38">
        <w:r>
          <w:rPr>
            <w:color w:val="1155CC"/>
            <w:u w:val="single"/>
            <w:sz w:val="20"/>
          </w:rPr>
          <w:t xml:space="preserve">Ahalt et al. Building a collaborative cloud platform (NHLBI BioData Catalyst). JAMIA 2023</w:t>
        </w:r>
      </w:hyperlink>
      <w:r>
        <w:rPr>
          <w:sz w:val="21"/>
        </w:rPr>
        <w:t xml:space="preserve"> - community-driven cloud data/compute commons.</w:t>
      </w:r>
    </w:p>
    <w:p>
      <w:pPr>
        <w:pStyle w:val="ListBullet"/>
      </w:pPr>
      <w:hyperlink r:id="rId39">
        <w:r>
          <w:rPr>
            <w:color w:val="1155CC"/>
            <w:u w:val="single"/>
            <w:sz w:val="20"/>
          </w:rPr>
          <w:t xml:space="preserve">O'Connor et al. Dockstore: sharing Docker-based tools and workflows. F1000Research 2017</w:t>
        </w:r>
      </w:hyperlink>
      <w:r>
        <w:rPr>
          <w:sz w:val="21"/>
        </w:rPr>
        <w:t xml:space="preserve"> - registry of portable containerized workflows across commons.</w:t>
      </w:r>
    </w:p>
    <w:p>
      <w:pPr>
        <w:pStyle w:val="Heading2"/>
      </w:pPr>
      <w:r>
        <w:t>5.2 Standards &amp; interoperability</w:t>
      </w:r>
    </w:p>
    <w:p>
      <w:pPr>
        <w:pStyle w:val="ListBullet"/>
      </w:pPr>
      <w:hyperlink r:id="rId40">
        <w:r>
          <w:rPr>
            <w:color w:val="1155CC"/>
            <w:u w:val="single"/>
            <w:sz w:val="20"/>
          </w:rPr>
          <w:t xml:space="preserve">Wilkinson et al. The FAIR Guiding Principles for scientific data management. Sci Data 2016</w:t>
        </w:r>
      </w:hyperlink>
      <w:r>
        <w:rPr>
          <w:sz w:val="21"/>
        </w:rPr>
        <w:t xml:space="preserve"> - the canonical FAIR principles.</w:t>
      </w:r>
    </w:p>
    <w:p>
      <w:pPr>
        <w:pStyle w:val="ListBullet"/>
      </w:pPr>
      <w:hyperlink r:id="rId41">
        <w:r>
          <w:rPr>
            <w:color w:val="1155CC"/>
            <w:u w:val="single"/>
            <w:sz w:val="20"/>
          </w:rPr>
          <w:t xml:space="preserve">Rehm et al. GA4GH: International policies and standards for data sharing. Cell Genomics 2021</w:t>
        </w:r>
      </w:hyperlink>
      <w:r>
        <w:rPr>
          <w:sz w:val="21"/>
        </w:rPr>
        <w:t xml:space="preserve"> - interoperable standards and policy for responsible genomic/clinical data sharing.</w:t>
      </w:r>
    </w:p>
    <w:p>
      <w:pPr>
        <w:pStyle w:val="ListBullet"/>
      </w:pPr>
      <w:r>
        <w:rPr>
          <w:sz w:val="21"/>
        </w:rPr>
        <w:t xml:space="preserve">*Jacobsen et al. GA4GH Phenopacket schema. Nat Biotechnol 2022* (see Anchor seeds) - computable phenotype exchange. </w:t>
      </w:r>
      <w:r>
        <w:rPr>
          <w:b/>
          <w:sz w:val="21"/>
        </w:rPr>
        <w:t>[Author-group]</w:t>
      </w:r>
    </w:p>
    <w:p>
      <w:pPr>
        <w:pStyle w:val="ListBullet"/>
      </w:pPr>
      <w:r>
        <w:rPr>
          <w:sz w:val="21"/>
        </w:rPr>
        <w:t>*Overhage et al. OMOP CDM. JAMIA 2012* - harmonized multi-site analytics (as used by N3C/OHDSI).</w:t>
      </w:r>
    </w:p>
    <w:p>
      <w:pPr>
        <w:pStyle w:val="ListBullet"/>
      </w:pPr>
      <w:hyperlink r:id="rId112">
        <w:r>
          <w:rPr>
            <w:color w:val="1155CC"/>
            <w:u w:val="single"/>
            <w:sz w:val="20"/>
          </w:rPr>
          <w:t xml:space="preserve">Biomedical Data Translator Consortium. Toward A Universal Biomedical Data Translator. Clin Transl Sci 2019</w:t>
        </w:r>
      </w:hyperlink>
      <w:r>
        <w:rPr>
          <w:sz w:val="21"/>
        </w:rPr>
        <w:t xml:space="preserve"> - NCATS Translator reasoning over integrated knowledge graphs. *(consortium byline - not tagged; see caveats)*</w:t>
      </w:r>
    </w:p>
    <w:p>
      <w:pPr>
        <w:pStyle w:val="Heading1"/>
      </w:pPr>
      <w:r>
        <w:t>6. Recommendations - governed/responsible AI for the refreshed roadmap</w:t>
      </w:r>
    </w:p>
    <w:p>
      <w:pPr>
        <w:pStyle w:val="ListBullet"/>
      </w:pPr>
      <w:hyperlink r:id="rId42">
        <w:r>
          <w:rPr>
            <w:color w:val="1155CC"/>
            <w:u w:val="single"/>
            <w:sz w:val="20"/>
          </w:rPr>
          <w:t xml:space="preserve">Obermeyer et al. Dissecting racial bias in an algorithm used to manage the health of populations. Science 2019</w:t>
        </w:r>
      </w:hyperlink>
      <w:r>
        <w:rPr>
          <w:sz w:val="21"/>
        </w:rPr>
        <w:t xml:space="preserve"> - landmark demonstration of racial bias in a deployed clinical algorithm.</w:t>
      </w:r>
    </w:p>
    <w:p>
      <w:pPr>
        <w:pStyle w:val="ListBullet"/>
      </w:pPr>
      <w:hyperlink r:id="rId43">
        <w:r>
          <w:rPr>
            <w:color w:val="1155CC"/>
            <w:u w:val="single"/>
            <w:sz w:val="20"/>
          </w:rPr>
          <w:t xml:space="preserve">Wiens et al. Do no harm: a roadmap for responsible machine learning for health care. Nat Med 2019</w:t>
        </w:r>
      </w:hyperlink>
      <w:r>
        <w:rPr>
          <w:sz w:val="21"/>
        </w:rPr>
        <w:t xml:space="preserve"> - framework for responsibly moving ML to deployment.</w:t>
      </w:r>
    </w:p>
    <w:p>
      <w:pPr>
        <w:pStyle w:val="ListBullet"/>
      </w:pPr>
      <w:hyperlink r:id="rId44">
        <w:r>
          <w:rPr>
            <w:color w:val="1155CC"/>
            <w:u w:val="single"/>
            <w:sz w:val="20"/>
          </w:rPr>
          <w:t xml:space="preserve">Rajkomar et al. Ensuring Fairness in Machine Learning to Advance Health Equity. Ann Intern Med 2018</w:t>
        </w:r>
      </w:hyperlink>
      <w:r>
        <w:rPr>
          <w:sz w:val="21"/>
        </w:rPr>
        <w:t xml:space="preserve"> - fairness criteria and distributive-justice principles for clinical ML.</w:t>
      </w:r>
    </w:p>
    <w:p>
      <w:pPr>
        <w:pStyle w:val="ListBullet"/>
      </w:pPr>
      <w:hyperlink r:id="rId45">
        <w:r>
          <w:rPr>
            <w:color w:val="1155CC"/>
            <w:u w:val="single"/>
            <w:sz w:val="20"/>
          </w:rPr>
          <w:t xml:space="preserve">Char et al. Implementing Machine Learning in Health Care - Addressing Ethical Challenges. NEJM 2018</w:t>
        </w:r>
      </w:hyperlink>
      <w:r>
        <w:rPr>
          <w:sz w:val="21"/>
        </w:rPr>
        <w:t xml:space="preserve"> - ethical risks (bias, oversight) in clinical ML.</w:t>
      </w:r>
    </w:p>
    <w:p>
      <w:r>
        <w:rPr>
          <w:sz w:val="21"/>
        </w:rPr>
        <w:t>**</w:t>
      </w:r>
    </w:p>
    <w:p>
      <w:pPr>
        <w:pStyle w:val="Heading1"/>
      </w:pPr>
      <w:r>
        <w:t>Caveats to check before use</w:t>
      </w:r>
    </w:p>
    <w:p>
      <w:r>
        <w:rPr>
          <w:b/>
          <w:sz w:val="21"/>
        </w:rPr>
        <w:t>Cross-listed (list once; cited in multiple sections):</w:t>
      </w:r>
      <w:r>
        <w:rPr>
          <w:sz w:val="21"/>
        </w:rPr>
        <w:t xml:space="preserve"> AoU NEJM 2019; Ramirez Patterns 2022; Overhage OMOP 2012; Jacobsen Phenopacket 2022 (Anchor).</w:t>
      </w:r>
    </w:p>
    <w:p>
      <w:r>
        <w:rPr>
          <w:b/>
          <w:sz w:val="21"/>
        </w:rPr>
        <w:t>Preprints (confirm/upgrade to journal version before submission):</w:t>
      </w:r>
      <w:r>
        <w:rPr>
          <w:sz w:val="21"/>
        </w:rPr>
        <w:t xml:space="preserve"> Nori et al. GPT-4 (arXiv 2303.13375); Brixi et al. Evo 2 (bioRxiv 2025.02.18.638918 - reportedly later in *Nature* ~2026; verify).</w:t>
      </w:r>
    </w:p>
    <w:p>
      <w:r>
        <w:rPr>
          <w:b/>
          <w:sz w:val="21"/>
        </w:rPr>
        <w:t>Dual-journal:</w:t>
      </w:r>
      <w:r>
        <w:rPr>
          <w:sz w:val="21"/>
        </w:rPr>
        <w:t xml:space="preserve"> Rinella MASLD consensus co-published in *Hepatology* (DOI above) and *J Hepatol* 2023;79(6):1542–1556 - cite per the manuscript's style.</w:t>
      </w:r>
    </w:p>
    <w:p>
      <w:r>
        <w:rPr>
          <w:b/>
          <w:sz w:val="21"/>
        </w:rPr>
        <w:t>Preprint→journal already resolved:</w:t>
      </w:r>
      <w:r>
        <w:rPr>
          <w:sz w:val="21"/>
        </w:rPr>
        <w:t xml:space="preserve"> Nucleotide Transformer cited to *Nat Methods* 2025 (not the 2023 bioRxiv); Evo to *Science* 2024; Mondo to *Genetics* 2025 (not 2022 medRxiv).</w:t>
      </w:r>
    </w:p>
    <w:p>
      <w:r>
        <w:rPr>
          <w:b/>
          <w:sz w:val="21"/>
        </w:rPr>
        <w:t>Author-group tagging:</w:t>
      </w:r>
    </w:p>
    <w:p>
      <w:pPr>
        <w:pStyle w:val="ListBullet"/>
      </w:pPr>
      <w:r>
        <w:rPr>
          <w:sz w:val="21"/>
        </w:rPr>
        <w:t>Tagged (byline-verified): N3C (Haendel 1st), Monarch 2019/2024 (Haendel senior), HPO 2021 (Haendel in large byline), Phenopacket 2022, Mondo 2025.</w:t>
      </w:r>
    </w:p>
    <w:p>
      <w:pPr>
        <w:pStyle w:val="ListBullet"/>
      </w:pPr>
      <w:r>
        <w:rPr>
          <w:b/>
          <w:sz w:val="21"/>
        </w:rPr>
        <w:t>NOT tagged:</w:t>
      </w:r>
      <w:r>
        <w:rPr>
          <w:sz w:val="21"/>
        </w:rPr>
        <w:t xml:space="preserve"> Biomedical Data Translator Consortium (Clin Transl Sci 2019) carries a *consortium* byline with no individual authors - Haendel is a program participant, not a byline author; placed in untagged. (Date also ambiguous: epub Nov 2018, print 2019.)</w:t>
      </w:r>
    </w:p>
    <w:p>
      <w:r>
        <w:rPr>
          <w:b/>
          <w:sz w:val="21"/>
        </w:rPr>
        <w:t>Gray literature:</w:t>
      </w:r>
      <w:r>
        <w:rPr>
          <w:sz w:val="21"/>
        </w:rPr>
        <w:t xml:space="preserve"> the PMI Working Group report is an NIH government report, not peer-reviewed (included as the foundational design document).</w:t>
      </w:r>
    </w:p>
    <w:p>
      <w:r>
        <w:rPr>
          <w:b/>
          <w:sz w:val="21"/>
        </w:rPr>
        <w:t>Deliberately omitted (no verifiable canonical paper found - do not add unverified):</w:t>
      </w:r>
      <w:r>
        <w:rPr>
          <w:sz w:val="21"/>
        </w:rPr>
        <w:t xml:space="preserve"> a dedicated </w:t>
      </w:r>
      <w:r>
        <w:rPr>
          <w:b/>
          <w:sz w:val="21"/>
        </w:rPr>
        <w:t>Terra</w:t>
      </w:r>
      <w:r>
        <w:rPr>
          <w:sz w:val="21"/>
        </w:rPr>
        <w:t xml:space="preserve"> platform paper (only vendor press releases; represented via AnVIL + BioData Catalyst); a </w:t>
      </w:r>
      <w:r>
        <w:rPr>
          <w:b/>
          <w:sz w:val="21"/>
        </w:rPr>
        <w:t>Gabriella Miller Kids First</w:t>
      </w:r>
      <w:r>
        <w:rPr>
          <w:sz w:val="21"/>
        </w:rPr>
        <w:t xml:space="preserve"> platform paper (only NIH program pages); a standalone "compute-to-data" citation (anchored by AnVIL/BioData Catalyst); CKB's 2005 KSCDC predecessor profile; Peterson et al. 2019 and MVP array-methods papers (surfaced but not individually fetch-verified).</w:t>
      </w:r>
    </w:p>
    <w:p>
      <w:r>
        <w:rPr>
          <w:b/>
          <w:sz w:val="21"/>
        </w:rPr>
        <w:t>General:</w:t>
      </w:r>
      <w:r>
        <w:rPr>
          <w:sz w:val="21"/>
        </w:rPr>
        <w:t xml:space="preserve"> all URLs resolve to the exact paper (title + first author + year matched); some full texts are paywalled. Hubbard, Mehandru, Char, Wiens are Perspective/framing pieces, not primary evidence. Spot-check every DOI against your reference manager on import.</w:t>
      </w:r>
    </w:p>
    <w:p>
      <w:pPr>
        <w:pStyle w:val="Heading1"/>
      </w:pPr>
      <w:r>
        <w:t>Committee-sourced verified additions (2026-10-21)</w:t>
      </w:r>
    </w:p>
    <w:p>
      <w:r>
        <w:rPr>
          <w:b/>
          <w:sz w:val="21"/>
        </w:rPr>
        <w:t>AoU program papers (committee 2026 series):</w:t>
      </w:r>
    </w:p>
    <w:p>
      <w:pPr>
        <w:pStyle w:val="ListBullet"/>
      </w:pPr>
      <w:hyperlink r:id="rId113">
        <w:r>
          <w:rPr>
            <w:color w:val="1155CC"/>
            <w:u w:val="single"/>
            <w:sz w:val="20"/>
          </w:rPr>
          <w:t xml:space="preserve">Montgomery et al. Assessing the generalizability of prevalence estimates from the All of Us Research Program. Am J Epidemiology 2026;195(7):1962–1973</w:t>
        </w:r>
      </w:hyperlink>
      <w:r>
        <w:rPr>
          <w:sz w:val="21"/>
        </w:rPr>
        <w:t xml:space="preserve"> - generalizability Driver Project. DOI 10.1093/aje/kwag010 · PMID 41536210.</w:t>
      </w:r>
    </w:p>
    <w:p>
      <w:pPr>
        <w:pStyle w:val="ListBullet"/>
      </w:pPr>
      <w:hyperlink r:id="rId47">
        <w:r>
          <w:rPr>
            <w:color w:val="1155CC"/>
            <w:u w:val="single"/>
            <w:sz w:val="20"/>
          </w:rPr>
          <w:t xml:space="preserve">waou: Weighting All of Us (Brannock/Elkasabi/Montgomery). CRAN 2026, v0.1.1</w:t>
        </w:r>
      </w:hyperlink>
      <w:r>
        <w:rPr>
          <w:sz w:val="21"/>
        </w:rPr>
        <w:t xml:space="preserve"> - released weighting package tool.</w:t>
      </w:r>
    </w:p>
    <w:p>
      <w:pPr>
        <w:pStyle w:val="ListBullet"/>
      </w:pPr>
      <w:hyperlink r:id="rId114">
        <w:r>
          <w:rPr>
            <w:color w:val="1155CC"/>
            <w:u w:val="single"/>
            <w:sz w:val="20"/>
          </w:rPr>
          <w:t xml:space="preserve">Cohn et al. Leveraging the All of Us Research Program to advance women's health. J Womens Health 2026;35(8):724–734</w:t>
        </w:r>
      </w:hyperlink>
      <w:r>
        <w:rPr>
          <w:sz w:val="21"/>
        </w:rPr>
        <w:t xml:space="preserve"> - Women's Health Driver Project exemplar. DOI 10.1177/15409996261434111 · PMID 41856979.</w:t>
      </w:r>
    </w:p>
    <w:p>
      <w:r>
        <w:rPr>
          <w:b/>
          <w:sz w:val="21"/>
        </w:rPr>
        <w:t>Frontier-methods harvest:</w:t>
      </w:r>
      <w:r>
        <w:rPr>
          <w:sz w:val="21"/>
        </w:rPr>
        <w:t xml:space="preserve"> 15 verified additions (genomic foundation models, clinical LLMs, agentic AI, multimodal, target-trial emulation, EHR foundation models) appended to </w:t>
      </w:r>
      <w:hyperlink r:id="rId115">
        <w:r>
          <w:rPr>
            <w:color w:val="1155CC"/>
            <w:u w:val="single"/>
            <w:sz w:val="20"/>
          </w:rPr>
          <w:t xml:space="preserve">`citations_clusterC.md`</w:t>
        </w:r>
      </w:hyperlink>
      <w:r>
        <w:rPr>
          <w:sz w:val="21"/>
        </w:rPr>
        <w:t>.</w:t>
      </w:r>
    </w:p>
    <w:p>
      <w:r>
        <w:rPr>
          <w:b/>
          <w:sz w:val="21"/>
        </w:rPr>
        <w:t>Deliberately omitted - UNVERIFIED:</w:t>
      </w:r>
      <w:r>
        <w:rPr>
          <w:sz w:val="21"/>
        </w:rPr>
        <w:t xml:space="preserve"> the multi-omics preprint "Multi-omics in 10,000 diverse individuals…" (Montgomery/Padhi, AoU) could not be located on PubMed, bioRxiv, medRxiv, or the web (title/authors/cohort unconfirmed). The 10k multi-omics program is described in the deliverables as a program activity (committee update), </w:t>
      </w:r>
      <w:r>
        <w:rPr>
          <w:b/>
          <w:sz w:val="21"/>
        </w:rPr>
        <w:t>not</w:t>
      </w:r>
      <w:r>
        <w:rPr>
          <w:sz w:val="21"/>
        </w:rPr>
        <w:t xml:space="preserve"> cited to a paper until one is verified.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oi.org/10.1056/NEJMp1500523" TargetMode="External"/><Relationship Id="rId10" Type="http://schemas.openxmlformats.org/officeDocument/2006/relationships/hyperlink" Target="https://www.nih.gov/sites/default/files/research-training/initiatives/pmi/09172015-pmi-working-group-report.pdf" TargetMode="External"/><Relationship Id="rId11" Type="http://schemas.openxmlformats.org/officeDocument/2006/relationships/hyperlink" Target="https://doi.org/10.1056/NEJMsr1809937" TargetMode="External"/><Relationship Id="rId12" Type="http://schemas.openxmlformats.org/officeDocument/2006/relationships/hyperlink" Target="https://doi.org/10.1371/journal.pone.0234962" TargetMode="External"/><Relationship Id="rId13" Type="http://schemas.openxmlformats.org/officeDocument/2006/relationships/hyperlink" Target="https://doi.org/10.1016/j.cell.2021.01.015" TargetMode="External"/><Relationship Id="rId14" Type="http://schemas.openxmlformats.org/officeDocument/2006/relationships/hyperlink" Target="https://doi.org/10.1038/s41586-023-06957-x" TargetMode="External"/><Relationship Id="rId15" Type="http://schemas.openxmlformats.org/officeDocument/2006/relationships/hyperlink" Target="https://doi.org/10.1016/j.patter.2022.100570" TargetMode="External"/><Relationship Id="rId16" Type="http://schemas.openxmlformats.org/officeDocument/2006/relationships/hyperlink" Target="https://doi.org/10.2196/45103" TargetMode="External"/><Relationship Id="rId17" Type="http://schemas.openxmlformats.org/officeDocument/2006/relationships/hyperlink" Target="https://doi.org/10.1136/amiajnl-2011-000376" TargetMode="External"/><Relationship Id="rId18" Type="http://schemas.openxmlformats.org/officeDocument/2006/relationships/hyperlink" Target="https://doi.org/10.1093/bioinformatics/btq126" TargetMode="External"/><Relationship Id="rId19" Type="http://schemas.openxmlformats.org/officeDocument/2006/relationships/hyperlink" Target="https://www.nih.gov/allofus/funding/partnered-research-studies" TargetMode="External"/><Relationship Id="rId20" Type="http://schemas.openxmlformats.org/officeDocument/2006/relationships/hyperlink" Target="https://doi.org/10.1177/15409996261434111" TargetMode="External"/><Relationship Id="rId21" Type="http://schemas.openxmlformats.org/officeDocument/2006/relationships/hyperlink" Target="https://doi.org/10.1371/journal.pmed.1001779" TargetMode="External"/><Relationship Id="rId22" Type="http://schemas.openxmlformats.org/officeDocument/2006/relationships/hyperlink" Target="https://doi.org/10.1016/j.jclinepi.2015.09.016" TargetMode="External"/><Relationship Id="rId23" Type="http://schemas.openxmlformats.org/officeDocument/2006/relationships/hyperlink" Target="https://doi.org/10.1038/s41586-022-05473-8" TargetMode="External"/><Relationship Id="rId24" Type="http://schemas.openxmlformats.org/officeDocument/2006/relationships/hyperlink" Target="https://doi.org/10.1093/ije/dyr120" TargetMode="External"/><Relationship Id="rId25" Type="http://schemas.openxmlformats.org/officeDocument/2006/relationships/hyperlink" Target="https://doi.org/10.1016/j.cell.2019.02.048" TargetMode="External"/><Relationship Id="rId26" Type="http://schemas.openxmlformats.org/officeDocument/2006/relationships/hyperlink" Target="https://doi.org/10.1038/s41588-019-0379-x" TargetMode="External"/><Relationship Id="rId27" Type="http://schemas.openxmlformats.org/officeDocument/2006/relationships/hyperlink" Target="https://doi.org/10.1093/aje/kwx246" TargetMode="External"/><Relationship Id="rId28" Type="http://schemas.openxmlformats.org/officeDocument/2006/relationships/hyperlink" Target="https://doi.org/10.1038/s41586-023-05881-4" TargetMode="External"/><Relationship Id="rId29" Type="http://schemas.openxmlformats.org/officeDocument/2006/relationships/hyperlink" Target="https://doi.org/10.1038/s41586-023-06291-2" TargetMode="External"/><Relationship Id="rId30" Type="http://schemas.openxmlformats.org/officeDocument/2006/relationships/hyperlink" Target="https://doi.org/10.1038/s41592-024-02523-z" TargetMode="External"/><Relationship Id="rId31" Type="http://schemas.openxmlformats.org/officeDocument/2006/relationships/hyperlink" Target="https://doi.org/10.1126/science.ado9336" TargetMode="External"/><Relationship Id="rId32" Type="http://schemas.openxmlformats.org/officeDocument/2006/relationships/hyperlink" Target="https://doi.org/10.1038/s41591-022-01981-2" TargetMode="External"/><Relationship Id="rId33" Type="http://schemas.openxmlformats.org/officeDocument/2006/relationships/hyperlink" Target="https://doi.org/10.1097/HEP.0000000000000520" TargetMode="External"/><Relationship Id="rId34" Type="http://schemas.openxmlformats.org/officeDocument/2006/relationships/hyperlink" Target="https://doi.org/10.1093/aje/kwv254" TargetMode="External"/><Relationship Id="rId35" Type="http://schemas.openxmlformats.org/officeDocument/2006/relationships/hyperlink" Target="https://doi.org/10.1038/s41586-021-03819-2" TargetMode="External"/><Relationship Id="rId36" Type="http://schemas.openxmlformats.org/officeDocument/2006/relationships/hyperlink" Target="https://doi.org/10.1093/jamia/ocaa196" TargetMode="External"/><Relationship Id="rId37" Type="http://schemas.openxmlformats.org/officeDocument/2006/relationships/hyperlink" Target="https://doi.org/10.1016/j.xgen.2021.100085" TargetMode="External"/><Relationship Id="rId38" Type="http://schemas.openxmlformats.org/officeDocument/2006/relationships/hyperlink" Target="https://doi.org/10.1093/jamia/ocad048" TargetMode="External"/><Relationship Id="rId39" Type="http://schemas.openxmlformats.org/officeDocument/2006/relationships/hyperlink" Target="https://doi.org/10.12688/f1000research.10137.1" TargetMode="External"/><Relationship Id="rId40" Type="http://schemas.openxmlformats.org/officeDocument/2006/relationships/hyperlink" Target="https://doi.org/10.1038/sdata.2016.18" TargetMode="External"/><Relationship Id="rId41" Type="http://schemas.openxmlformats.org/officeDocument/2006/relationships/hyperlink" Target="https://doi.org/10.1016/j.xgen.2021.100029" TargetMode="External"/><Relationship Id="rId42" Type="http://schemas.openxmlformats.org/officeDocument/2006/relationships/hyperlink" Target="https://doi.org/10.1126/science.aax2342" TargetMode="External"/><Relationship Id="rId43" Type="http://schemas.openxmlformats.org/officeDocument/2006/relationships/hyperlink" Target="https://doi.org/10.1038/s41591-019-0548-6" TargetMode="External"/><Relationship Id="rId44" Type="http://schemas.openxmlformats.org/officeDocument/2006/relationships/hyperlink" Target="https://doi.org/10.7326/M18-1990" TargetMode="External"/><Relationship Id="rId45" Type="http://schemas.openxmlformats.org/officeDocument/2006/relationships/hyperlink" Target="https://doi.org/10.1056/NEJMp1714229" TargetMode="External"/><Relationship Id="rId46" Type="http://schemas.openxmlformats.org/officeDocument/2006/relationships/hyperlink" Target="https://doi.org/10.1093/aje/kwag010" TargetMode="External"/><Relationship Id="rId47" Type="http://schemas.openxmlformats.org/officeDocument/2006/relationships/hyperlink" Target="https://CRAN.R-project.org/package=waou" TargetMode="External"/><Relationship Id="rId48" Type="http://schemas.openxmlformats.org/officeDocument/2006/relationships/hyperlink" Target="outline.md" TargetMode="External"/><Relationship Id="rId49" Type="http://schemas.openxmlformats.org/officeDocument/2006/relationships/hyperlink" Target="https://doi.org/10.1093/nar/gkz997" TargetMode="External"/><Relationship Id="rId50" Type="http://schemas.openxmlformats.org/officeDocument/2006/relationships/hyperlink" Target="https://doi.org/10.1093/nar/gkad1082" TargetMode="External"/><Relationship Id="rId51" Type="http://schemas.openxmlformats.org/officeDocument/2006/relationships/hyperlink" Target="https://doi.org/10.1093/nar/gkaa1043" TargetMode="External"/><Relationship Id="rId52" Type="http://schemas.openxmlformats.org/officeDocument/2006/relationships/hyperlink" Target="https://doi.org/10.1038/s41587-022-01357-4" TargetMode="External"/><Relationship Id="rId53" Type="http://schemas.openxmlformats.org/officeDocument/2006/relationships/hyperlink" Target="https://doi.org/10.1093/genetics/iyaf215" TargetMode="External"/><Relationship Id="rId54" Type="http://schemas.openxmlformats.org/officeDocument/2006/relationships/hyperlink" Target="https://pubmed.ncbi.nlm.nih.gov/25635347/" TargetMode="External"/><Relationship Id="rId55" Type="http://schemas.openxmlformats.org/officeDocument/2006/relationships/hyperlink" Target="https://pubmed.ncbi.nlm.nih.gov/31412182/" TargetMode="External"/><Relationship Id="rId56" Type="http://schemas.openxmlformats.org/officeDocument/2006/relationships/hyperlink" Target="https://pmc.ncbi.nlm.nih.gov/articles/PMC7329113/" TargetMode="External"/><Relationship Id="rId57" Type="http://schemas.openxmlformats.org/officeDocument/2006/relationships/hyperlink" Target="https://pmc.ncbi.nlm.nih.gov/articles/PMC10937371/" TargetMode="External"/><Relationship Id="rId58" Type="http://schemas.openxmlformats.org/officeDocument/2006/relationships/hyperlink" Target="https://pmc.ncbi.nlm.nih.gov/articles/PMC9403360/" TargetMode="External"/><Relationship Id="rId59" Type="http://schemas.openxmlformats.org/officeDocument/2006/relationships/hyperlink" Target="https://pmc.ncbi.nlm.nih.gov/articles/PMC3240764/" TargetMode="External"/><Relationship Id="rId60" Type="http://schemas.openxmlformats.org/officeDocument/2006/relationships/hyperlink" Target="https://doi.org/10.3233/978-1-61499-564-7-574" TargetMode="External"/><Relationship Id="rId61" Type="http://schemas.openxmlformats.org/officeDocument/2006/relationships/hyperlink" Target="https://pubmed.ncbi.nlm.nih.gov/20335276/" TargetMode="External"/><Relationship Id="rId62" Type="http://schemas.openxmlformats.org/officeDocument/2006/relationships/hyperlink" Target="https://pubmed.ncbi.nlm.nih.gov/24270849/" TargetMode="External"/><Relationship Id="rId63" Type="http://schemas.openxmlformats.org/officeDocument/2006/relationships/hyperlink" Target="https://doi.org/10.1038/nbt.2749" TargetMode="External"/><Relationship Id="rId64" Type="http://schemas.openxmlformats.org/officeDocument/2006/relationships/hyperlink" Target="https://doi.org/10.1038/nrg2999" TargetMode="External"/><Relationship Id="rId65" Type="http://schemas.openxmlformats.org/officeDocument/2006/relationships/hyperlink" Target="https://pmc.ncbi.nlm.nih.gov/articles/PMC4416392/" TargetMode="External"/><Relationship Id="rId66" Type="http://schemas.openxmlformats.org/officeDocument/2006/relationships/hyperlink" Target="https://doi.org/10.1186/s13073-015-0166-y" TargetMode="External"/><Relationship Id="rId67" Type="http://schemas.openxmlformats.org/officeDocument/2006/relationships/hyperlink" Target="https://doi.org/10.1007/s11192-009-0146-3" TargetMode="External"/><Relationship Id="rId68" Type="http://schemas.openxmlformats.org/officeDocument/2006/relationships/hyperlink" Target="https://doi.org/10.1002/asi.21419" TargetMode="External"/><Relationship Id="rId69" Type="http://schemas.openxmlformats.org/officeDocument/2006/relationships/hyperlink" Target="https://www.jmlr.org/papers/v3/blei03a.html" TargetMode="External"/><Relationship Id="rId70" Type="http://schemas.openxmlformats.org/officeDocument/2006/relationships/hyperlink" Target="https://pubmed.ncbi.nlm.nih.gov/25826379/" TargetMode="External"/><Relationship Id="rId71" Type="http://schemas.openxmlformats.org/officeDocument/2006/relationships/hyperlink" Target="https://doi.org/10.1038/s41586-018-0579-z" TargetMode="External"/><Relationship Id="rId72" Type="http://schemas.openxmlformats.org/officeDocument/2006/relationships/hyperlink" Target="https://pubmed.ncbi.nlm.nih.gov/26441289/" TargetMode="External"/><Relationship Id="rId73" Type="http://schemas.openxmlformats.org/officeDocument/2006/relationships/hyperlink" Target="https://pubmed.ncbi.nlm.nih.gov/36653562/" TargetMode="External"/><Relationship Id="rId74" Type="http://schemas.openxmlformats.org/officeDocument/2006/relationships/hyperlink" Target="https://pubmed.ncbi.nlm.nih.gov/22158673/" TargetMode="External"/><Relationship Id="rId75" Type="http://schemas.openxmlformats.org/officeDocument/2006/relationships/hyperlink" Target="https://doi.org/10.1038/s41586-021-04103-z" TargetMode="External"/><Relationship Id="rId76" Type="http://schemas.openxmlformats.org/officeDocument/2006/relationships/hyperlink" Target="https://pubmed.ncbi.nlm.nih.gov/35859178/" TargetMode="External"/><Relationship Id="rId77" Type="http://schemas.openxmlformats.org/officeDocument/2006/relationships/hyperlink" Target="https://doi.org/10.1038/s41586-022-04965-x" TargetMode="External"/><Relationship Id="rId78" Type="http://schemas.openxmlformats.org/officeDocument/2006/relationships/hyperlink" Target="https://doi.org/10.1126/science.adj1182" TargetMode="External"/><Relationship Id="rId79" Type="http://schemas.openxmlformats.org/officeDocument/2006/relationships/hyperlink" Target="https://pmc.ncbi.nlm.nih.gov/articles/PMC6785182/" TargetMode="External"/><Relationship Id="rId80" Type="http://schemas.openxmlformats.org/officeDocument/2006/relationships/hyperlink" Target="https://doi.org/10.1038/s41586-019-1310-4" TargetMode="External"/><Relationship Id="rId81" Type="http://schemas.openxmlformats.org/officeDocument/2006/relationships/hyperlink" Target="https://pmc.ncbi.nlm.nih.gov/articles/PMC9903716/" TargetMode="External"/><Relationship Id="rId82" Type="http://schemas.openxmlformats.org/officeDocument/2006/relationships/hyperlink" Target="https://doi.org/10.1016/j.xgen.2022.100192" TargetMode="External"/><Relationship Id="rId83" Type="http://schemas.openxmlformats.org/officeDocument/2006/relationships/hyperlink" Target="https://pubmed.ncbi.nlm.nih.gov/30901543/" TargetMode="External"/><Relationship Id="rId84" Type="http://schemas.openxmlformats.org/officeDocument/2006/relationships/hyperlink" Target="https://doi.org/10.1038/538161a" TargetMode="External"/><Relationship Id="rId85" Type="http://schemas.openxmlformats.org/officeDocument/2006/relationships/hyperlink" Target="https://pubmed.ncbi.nlm.nih.gov/28641372/" TargetMode="External"/><Relationship Id="rId86" Type="http://schemas.openxmlformats.org/officeDocument/2006/relationships/hyperlink" Target="https://doi.org/10.1038/s42003-018-0261-x" TargetMode="External"/><Relationship Id="rId87" Type="http://schemas.openxmlformats.org/officeDocument/2006/relationships/hyperlink" Target="https://pubmed.ncbi.nlm.nih.gov/37045921/" TargetMode="External"/><Relationship Id="rId88" Type="http://schemas.openxmlformats.org/officeDocument/2006/relationships/hyperlink" Target="https://pubmed.ncbi.nlm.nih.gov/37438534/" TargetMode="External"/><Relationship Id="rId89" Type="http://schemas.openxmlformats.org/officeDocument/2006/relationships/hyperlink" Target="https://arxiv.org/abs/2303.13375" TargetMode="External"/><Relationship Id="rId90" Type="http://schemas.openxmlformats.org/officeDocument/2006/relationships/hyperlink" Target="https://doi.org/10.48550/arXiv.2303.13375" TargetMode="External"/><Relationship Id="rId91" Type="http://schemas.openxmlformats.org/officeDocument/2006/relationships/hyperlink" Target="https://doi.org/10.1371/journal.pdig.0000198" TargetMode="External"/><Relationship Id="rId92" Type="http://schemas.openxmlformats.org/officeDocument/2006/relationships/hyperlink" Target="https://doi.org/10.1038/s41586-025-08866-7" TargetMode="External"/><Relationship Id="rId93" Type="http://schemas.openxmlformats.org/officeDocument/2006/relationships/hyperlink" Target="https://www.nature.com/articles/s41746-024-01083-y" TargetMode="External"/><Relationship Id="rId94" Type="http://schemas.openxmlformats.org/officeDocument/2006/relationships/hyperlink" Target="https://doi.org/10.1038/s41746-024-01083-y" TargetMode="External"/><Relationship Id="rId95" Type="http://schemas.openxmlformats.org/officeDocument/2006/relationships/hyperlink" Target="https://pmc.ncbi.nlm.nih.gov/articles/PMC11025658" TargetMode="External"/><Relationship Id="rId96" Type="http://schemas.openxmlformats.org/officeDocument/2006/relationships/hyperlink" Target="https://doi.org/10.1093/bioinformatics/btab083" TargetMode="External"/><Relationship Id="rId97" Type="http://schemas.openxmlformats.org/officeDocument/2006/relationships/hyperlink" Target="https://doi.org/10.1101/2025.02.18.638918" TargetMode="External"/><Relationship Id="rId98" Type="http://schemas.openxmlformats.org/officeDocument/2006/relationships/hyperlink" Target="https://pubmed.ncbi.nlm.nih.gov/34663944/" TargetMode="External"/><Relationship Id="rId99" Type="http://schemas.openxmlformats.org/officeDocument/2006/relationships/hyperlink" Target="https://doi.org/10.1038/s41568-021-00408-3" TargetMode="External"/><Relationship Id="rId100" Type="http://schemas.openxmlformats.org/officeDocument/2006/relationships/hyperlink" Target="https://pubmed.ncbi.nlm.nih.gov/38324483/" TargetMode="External"/><Relationship Id="rId101" Type="http://schemas.openxmlformats.org/officeDocument/2006/relationships/hyperlink" Target="https://doi.org/10.1056/NEJMoa2309000" TargetMode="External"/><Relationship Id="rId102" Type="http://schemas.openxmlformats.org/officeDocument/2006/relationships/hyperlink" Target="https://pubmed.ncbi.nlm.nih.gov/26994063/" TargetMode="External"/><Relationship Id="rId103" Type="http://schemas.openxmlformats.org/officeDocument/2006/relationships/hyperlink" Target="https://doi.org/10.1056/NEJMp2407586" TargetMode="External"/><Relationship Id="rId104" Type="http://schemas.openxmlformats.org/officeDocument/2006/relationships/hyperlink" Target="https://pubmed.ncbi.nlm.nih.gov/34265844/" TargetMode="External"/><Relationship Id="rId105" Type="http://schemas.openxmlformats.org/officeDocument/2006/relationships/hyperlink" Target="https://pmc.ncbi.nlm.nih.gov/articles/PMC11168924" TargetMode="External"/><Relationship Id="rId106" Type="http://schemas.openxmlformats.org/officeDocument/2006/relationships/hyperlink" Target="https://doi.org/10.1038/s41586-024-07487-w" TargetMode="External"/><Relationship Id="rId107" Type="http://schemas.openxmlformats.org/officeDocument/2006/relationships/hyperlink" Target="https://pubmed.ncbi.nlm.nih.gov/33408395/" TargetMode="External"/><Relationship Id="rId108" Type="http://schemas.openxmlformats.org/officeDocument/2006/relationships/hyperlink" Target="https://doi.org/10.1038/s41592-020-01033-y" TargetMode="External"/><Relationship Id="rId109" Type="http://schemas.openxmlformats.org/officeDocument/2006/relationships/hyperlink" Target="https://doi.org/10.7554/eLife.27041" TargetMode="External"/><Relationship Id="rId110" Type="http://schemas.openxmlformats.org/officeDocument/2006/relationships/hyperlink" Target="https://pubmed.ncbi.nlm.nih.gov/35549404/" TargetMode="External"/><Relationship Id="rId111" Type="http://schemas.openxmlformats.org/officeDocument/2006/relationships/hyperlink" Target="https://doi.org/10.1126/science.abl4896" TargetMode="External"/><Relationship Id="rId112" Type="http://schemas.openxmlformats.org/officeDocument/2006/relationships/hyperlink" Target="https://doi.org/10.1111/cts.12591" TargetMode="External"/><Relationship Id="rId113" Type="http://schemas.openxmlformats.org/officeDocument/2006/relationships/hyperlink" Target="https://academic.oup.com/aje/article/195/7/1962/8426105" TargetMode="External"/><Relationship Id="rId114" Type="http://schemas.openxmlformats.org/officeDocument/2006/relationships/hyperlink" Target="https://journals.sagepub.com/doi/10.1177/15409996261434111" TargetMode="External"/><Relationship Id="rId115" Type="http://schemas.openxmlformats.org/officeDocument/2006/relationships/hyperlink" Target="citations_clusterC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