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3740" w:rsidRPr="002F3740" w:rsidRDefault="002F3740" w:rsidP="002F3740">
      <w:pPr>
        <w:pStyle w:val="Prrafodelista"/>
        <w:numPr>
          <w:ilvl w:val="0"/>
          <w:numId w:val="5"/>
        </w:numPr>
        <w:rPr>
          <w:b/>
          <w:bCs/>
        </w:rPr>
      </w:pPr>
      <w:r w:rsidRPr="002F3740">
        <w:rPr>
          <w:b/>
          <w:bCs/>
        </w:rPr>
        <w:t>Jerarquía de Extremos: Top 15 de Países con Mayor Índice Demográfico (2024)</w:t>
      </w:r>
    </w:p>
    <w:p w:rsidR="002F3740" w:rsidRPr="002F3740" w:rsidRDefault="002F3740" w:rsidP="002F3740">
      <w:pPr>
        <w:pStyle w:val="Prrafodelista"/>
        <w:rPr>
          <w:b/>
          <w:bCs/>
          <w:i/>
          <w:iCs/>
          <w:color w:val="FF0000"/>
        </w:rPr>
      </w:pPr>
      <w:r>
        <w:rPr>
          <w:b/>
          <w:bCs/>
          <w:i/>
          <w:iCs/>
          <w:color w:val="FF0000"/>
        </w:rPr>
        <w:t>Países con mayor índice demográfico</w:t>
      </w:r>
    </w:p>
    <w:p w:rsidR="002F3740" w:rsidRPr="002F3740" w:rsidRDefault="002F3740" w:rsidP="002F3740">
      <w:r w:rsidRPr="002F3740">
        <w:t xml:space="preserve">El gráfico de barras horizontales permite identificar a los territorios que concentran los valores más altos del índice compuesto en el año actual: </w:t>
      </w:r>
    </w:p>
    <w:p w:rsidR="002F3740" w:rsidRPr="002F3740" w:rsidRDefault="002F3740" w:rsidP="002F3740">
      <w:r w:rsidRPr="002F3740">
        <w:t>Desconocido</w:t>
      </w:r>
    </w:p>
    <w:p w:rsidR="002F3740" w:rsidRPr="002F3740" w:rsidRDefault="002F3740" w:rsidP="002F3740">
      <w:pPr>
        <w:numPr>
          <w:ilvl w:val="0"/>
          <w:numId w:val="1"/>
        </w:numPr>
      </w:pPr>
      <w:r w:rsidRPr="002F3740">
        <w:rPr>
          <w:b/>
          <w:bCs/>
        </w:rPr>
        <w:t>Naturaleza de los Extremos:</w:t>
      </w:r>
      <w:r w:rsidRPr="002F3740">
        <w:t xml:space="preserve"> En la cúspide de este ranking predominan microestados, ciudades-estado y territorios autónomos o de alta densidad </w:t>
      </w:r>
    </w:p>
    <w:p w:rsidR="002F3740" w:rsidRPr="002F3740" w:rsidRDefault="002F3740" w:rsidP="002F3740">
      <w:pPr>
        <w:numPr>
          <w:ilvl w:val="0"/>
          <w:numId w:val="1"/>
        </w:numPr>
      </w:pPr>
      <w:r w:rsidRPr="002F3740">
        <w:rPr>
          <w:b/>
          <w:bCs/>
        </w:rPr>
        <w:t>Implicación Analítica:</w:t>
      </w:r>
      <w:r w:rsidRPr="002F3740">
        <w:t xml:space="preserve"> Estos territorios maximizan las variables del índice compuesto</w:t>
      </w:r>
      <w:r>
        <w:t xml:space="preserve"> </w:t>
      </w:r>
      <w:r w:rsidRPr="002F3740">
        <w:t>reflejando los perfiles demográficos más maduros o comprimidos espacialmente del planeta.</w:t>
      </w:r>
    </w:p>
    <w:p w:rsidR="002F3740" w:rsidRDefault="002F3740" w:rsidP="002F3740">
      <w:pPr>
        <w:pStyle w:val="Prrafodelista"/>
        <w:numPr>
          <w:ilvl w:val="0"/>
          <w:numId w:val="5"/>
        </w:numPr>
        <w:rPr>
          <w:b/>
          <w:bCs/>
        </w:rPr>
      </w:pPr>
      <w:r w:rsidRPr="002F3740">
        <w:rPr>
          <w:b/>
          <w:bCs/>
        </w:rPr>
        <w:t>Comportamiento Global: Distribución del Índice Demográfico Compuesto</w:t>
      </w:r>
    </w:p>
    <w:p w:rsidR="002F3740" w:rsidRPr="002F3740" w:rsidRDefault="002F3740" w:rsidP="002F3740">
      <w:pPr>
        <w:ind w:left="708"/>
        <w:rPr>
          <w:i/>
          <w:iCs/>
          <w:color w:val="FF0000"/>
        </w:rPr>
      </w:pPr>
      <w:proofErr w:type="spellStart"/>
      <w:r>
        <w:rPr>
          <w:i/>
          <w:iCs/>
          <w:color w:val="FF0000"/>
        </w:rPr>
        <w:t>Graph</w:t>
      </w:r>
      <w:proofErr w:type="spellEnd"/>
      <w:r>
        <w:rPr>
          <w:i/>
          <w:iCs/>
          <w:color w:val="FF0000"/>
        </w:rPr>
        <w:t xml:space="preserve"> 1</w:t>
      </w:r>
    </w:p>
    <w:p w:rsidR="002F3740" w:rsidRPr="002F3740" w:rsidRDefault="002F3740" w:rsidP="002F3740">
      <w:r w:rsidRPr="002F3740">
        <w:t xml:space="preserve">El histograma superpuesto con la curva de densidad normal ilustra la forma en que se distribuye el índice a escala mundial: </w:t>
      </w:r>
    </w:p>
    <w:p w:rsidR="002F3740" w:rsidRPr="002F3740" w:rsidRDefault="002F3740" w:rsidP="002F3740">
      <w:r w:rsidRPr="002F3740">
        <w:t>Desconocido</w:t>
      </w:r>
    </w:p>
    <w:p w:rsidR="002F3740" w:rsidRPr="002F3740" w:rsidRDefault="002F3740" w:rsidP="002F3740">
      <w:pPr>
        <w:numPr>
          <w:ilvl w:val="0"/>
          <w:numId w:val="2"/>
        </w:numPr>
      </w:pPr>
      <w:r w:rsidRPr="002F3740">
        <w:rPr>
          <w:b/>
          <w:bCs/>
        </w:rPr>
        <w:t>Forma de la Distribución:</w:t>
      </w:r>
      <w:r w:rsidRPr="002F3740">
        <w:t xml:space="preserve"> Se observa una concentración central predominante en torno a los valores medios</w:t>
      </w:r>
    </w:p>
    <w:p w:rsidR="002F3740" w:rsidRPr="002F3740" w:rsidRDefault="002F3740" w:rsidP="002F3740">
      <w:pPr>
        <w:numPr>
          <w:ilvl w:val="0"/>
          <w:numId w:val="2"/>
        </w:numPr>
      </w:pPr>
      <w:r w:rsidRPr="002F3740">
        <w:rPr>
          <w:b/>
          <w:bCs/>
        </w:rPr>
        <w:t>Heterogeneidad Estructural:</w:t>
      </w:r>
      <w:r w:rsidRPr="002F3740">
        <w:t xml:space="preserve"> La presencia de valores extremos (tanto negativos profundos como positivos elevados) demuestra la profunda heterogeneidad demográfica global, donde conviven sociedades en etapas de transición muy tempranas con aquellas altamente envejecidas y densamente pobladas.</w:t>
      </w:r>
    </w:p>
    <w:p w:rsidR="002F3740" w:rsidRPr="002F3740" w:rsidRDefault="002F3740" w:rsidP="002F3740">
      <w:pPr>
        <w:pStyle w:val="Prrafodelista"/>
        <w:numPr>
          <w:ilvl w:val="0"/>
          <w:numId w:val="5"/>
        </w:numPr>
        <w:rPr>
          <w:b/>
          <w:bCs/>
        </w:rPr>
      </w:pPr>
      <w:r w:rsidRPr="002F3740">
        <w:rPr>
          <w:b/>
          <w:bCs/>
        </w:rPr>
        <w:t>Dinámica Histórica y Proyectada: Trayectorias de Densidad Poblacional (1950–2075)</w:t>
      </w:r>
    </w:p>
    <w:p w:rsidR="002F3740" w:rsidRPr="002F3740" w:rsidRDefault="002F3740" w:rsidP="002F3740">
      <w:pPr>
        <w:ind w:left="360"/>
        <w:rPr>
          <w:i/>
          <w:iCs/>
          <w:color w:val="FF0000"/>
        </w:rPr>
      </w:pPr>
      <w:proofErr w:type="spellStart"/>
      <w:r>
        <w:rPr>
          <w:i/>
          <w:iCs/>
          <w:color w:val="FF0000"/>
        </w:rPr>
        <w:t>Graph</w:t>
      </w:r>
      <w:proofErr w:type="spellEnd"/>
      <w:r>
        <w:rPr>
          <w:i/>
          <w:iCs/>
          <w:color w:val="FF0000"/>
        </w:rPr>
        <w:t xml:space="preserve"> 2</w:t>
      </w:r>
    </w:p>
    <w:p w:rsidR="002F3740" w:rsidRPr="002F3740" w:rsidRDefault="002F3740" w:rsidP="002F3740">
      <w:pPr>
        <w:numPr>
          <w:ilvl w:val="0"/>
          <w:numId w:val="3"/>
        </w:numPr>
      </w:pPr>
      <w:r w:rsidRPr="002F3740">
        <w:rPr>
          <w:b/>
          <w:bCs/>
        </w:rPr>
        <w:t>Clúster 1 y Clúster 2:</w:t>
      </w:r>
      <w:r w:rsidRPr="002F3740">
        <w:t xml:space="preserve"> Mantienen trayectorias relativamente estables y moderadas en términos de densidad promedio </w:t>
      </w:r>
    </w:p>
    <w:p w:rsidR="002F3740" w:rsidRPr="002F3740" w:rsidRDefault="002F3740" w:rsidP="002F3740">
      <w:pPr>
        <w:numPr>
          <w:ilvl w:val="0"/>
          <w:numId w:val="3"/>
        </w:numPr>
      </w:pPr>
      <w:r w:rsidRPr="002F3740">
        <w:rPr>
          <w:b/>
          <w:bCs/>
        </w:rPr>
        <w:t>Clúster 3:</w:t>
      </w:r>
      <w:r w:rsidRPr="002F3740">
        <w:t xml:space="preserve"> Exhibe una trayectoria de crecimiento exponencial drástica y diferenciada, consolidándose como el grupo con la presión territorial y </w:t>
      </w:r>
      <w:r w:rsidRPr="002F3740">
        <w:lastRenderedPageBreak/>
        <w:t>densidad demográfica más extrema, lo que evidencia disparidades estructurales agudas en la distribución espacial de la población mundial.</w:t>
      </w:r>
    </w:p>
    <w:p w:rsidR="002F3740" w:rsidRPr="002F3740" w:rsidRDefault="002F3740" w:rsidP="002F3740">
      <w:pPr>
        <w:pStyle w:val="Prrafodelista"/>
        <w:numPr>
          <w:ilvl w:val="0"/>
          <w:numId w:val="5"/>
        </w:numPr>
        <w:rPr>
          <w:b/>
          <w:bCs/>
        </w:rPr>
      </w:pPr>
      <w:r w:rsidRPr="002F3740">
        <w:rPr>
          <w:b/>
          <w:bCs/>
        </w:rPr>
        <w:t>Tipologías Dinámicas: Matriz de Transición (2000–2024)</w:t>
      </w:r>
      <w:r w:rsidRPr="002F3740">
        <w:rPr>
          <w:b/>
          <w:bCs/>
        </w:rPr>
        <w:t xml:space="preserve"> </w:t>
      </w:r>
    </w:p>
    <w:p w:rsidR="002F3740" w:rsidRPr="002F3740" w:rsidRDefault="002F3740" w:rsidP="002F3740">
      <w:pPr>
        <w:ind w:left="360"/>
        <w:rPr>
          <w:i/>
          <w:iCs/>
          <w:color w:val="FF0000"/>
        </w:rPr>
      </w:pPr>
      <w:r>
        <w:rPr>
          <w:i/>
          <w:iCs/>
          <w:color w:val="FF0000"/>
        </w:rPr>
        <w:t>Gráfico de dispersión por cuadrantes</w:t>
      </w:r>
    </w:p>
    <w:p w:rsidR="002F3740" w:rsidRPr="002F3740" w:rsidRDefault="002F3740" w:rsidP="002F3740">
      <w:r w:rsidRPr="002F3740">
        <w:t xml:space="preserve">Permite superar el análisis </w:t>
      </w:r>
      <w:proofErr w:type="spellStart"/>
      <w:r w:rsidRPr="002F3740">
        <w:t>univariado</w:t>
      </w:r>
      <w:proofErr w:type="spellEnd"/>
      <w:r w:rsidRPr="002F3740">
        <w:t xml:space="preserve"> estático, distinguiendo entre países que ya se encuentran en una fase de madurez estabilizada con cambios lentos, aquellos que experimentan un envejecimiento acelerado, y las economías en plena transición emergente o rezagadas.</w:t>
      </w:r>
    </w:p>
    <w:p w:rsidR="00377E14" w:rsidRDefault="00377E14"/>
    <w:sectPr w:rsidR="00377E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553EB"/>
    <w:multiLevelType w:val="multilevel"/>
    <w:tmpl w:val="5E34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6F4C"/>
    <w:multiLevelType w:val="multilevel"/>
    <w:tmpl w:val="2D40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410F"/>
    <w:multiLevelType w:val="multilevel"/>
    <w:tmpl w:val="1E4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56AFF"/>
    <w:multiLevelType w:val="hybridMultilevel"/>
    <w:tmpl w:val="2E1AF7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8D0C11"/>
    <w:multiLevelType w:val="multilevel"/>
    <w:tmpl w:val="3A6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157406">
    <w:abstractNumId w:val="4"/>
  </w:num>
  <w:num w:numId="2" w16cid:durableId="2063670926">
    <w:abstractNumId w:val="1"/>
  </w:num>
  <w:num w:numId="3" w16cid:durableId="1774812979">
    <w:abstractNumId w:val="2"/>
  </w:num>
  <w:num w:numId="4" w16cid:durableId="456410986">
    <w:abstractNumId w:val="0"/>
  </w:num>
  <w:num w:numId="5" w16cid:durableId="1308852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40"/>
    <w:rsid w:val="000C684E"/>
    <w:rsid w:val="002F3740"/>
    <w:rsid w:val="00377E14"/>
    <w:rsid w:val="00F9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F6ED"/>
  <w15:chartTrackingRefBased/>
  <w15:docId w15:val="{71A056EA-DB36-4D7E-9C40-2F427D1D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37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37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3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37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3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3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37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37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37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37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3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4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2026-10-26T03:08:00Z</dcterms:created>
  <dcterms:modified xsi:type="dcterms:W3CDTF">2026-10-26T03:15:00Z</dcterms:modified>
</cp:coreProperties>
</file>