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Mamoon,Mohammed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02/16/2022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da35cb86c1dc410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