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8ba4eb9ea6b640e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