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-ChemE Design Day: Thursday 4/20 @ 3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-Design Day: Monday 4/24 @ 5 PM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-compare free bottles to cost of buying PET filament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compare buy filament vs regrind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calculate materials 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calculate horsepower of motor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find a payback period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rework 25% : 25% regrind pellets + 75% PETG virgin pellets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- 25% rework because that's what the bottle industry is doing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drag flow rate: our data is only 50-60% of 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future could consider the conical barrel – something for future groups to consider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other group requested the granulator via the Green Fund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