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Single-use plastic manufacturing and consumption is accessible and cheap, making it an easy and attractive choice for the daily consumer. Additionally, because of COVID, single-use plastic use has increased even more in order to ensure health and safety regulations. With the growing concern of both the use of greenhouse gasses to manufacture the mass amounts of plastic products and the accumulating amount of plastic ending up in the landfills, the chemical industry is forced to pivot from traditional practices. Deloitte has identified three key options forward for chemical industries: </w:t>
      </w:r>
      <w:commentRangeStart w:id="0"/>
      <w:r w:rsidDel="00000000" w:rsidR="00000000" w:rsidRPr="00000000">
        <w:rPr>
          <w:rFonts w:ascii="Times New Roman" w:cs="Times New Roman" w:eastAsia="Times New Roman" w:hAnsi="Times New Roman"/>
          <w:rtl w:val="0"/>
        </w:rPr>
        <w:t xml:space="preserve">“alternative sourcing, improved recycling technologies and sustainable disposing of plastic waste, and achieving a circular economy.”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Pang" w:id="0" w:date="2023-02-06T06:16:46Z">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https://www2.deloitte.com/us/en/pages/energy-and-resources/articles/the-changing-single-use-plastics-landscape.html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