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6B1C24" w:sz="40" w:space="0"/>
        </w:pBdr>
        <w:shd w:fill="6B1C24" w:val="clear"/>
        <w:spacing w:after="0" w:before="0"/>
      </w:pPr>
      <w:r>
        <w:rPr>
          <w:sz w:val="8"/>
          <w:szCs w:val="8"/>
        </w:rPr>
        <w:t xml:space="preserve">  </w:t>
      </w:r>
    </w:p>
    <w:p>
      <w:pPr>
        <w:spacing w:after="160" w:before="0"/>
      </w:pPr>
      <w:r>
        <w:t xml:space="preserve"/>
      </w:r>
    </w:p>
    <w:p>
      <w:pPr>
        <w:spacing w:after="300" w:before="200"/>
        <w:jc w:val="left"/>
      </w:pPr>
      <w:r>
        <w:drawing>
          <wp:inline distT="0" distB="0" distL="0" distR="0">
            <wp:extent cx="1143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</w:t>
      </w:r>
      <w:r>
        <w:drawing>
          <wp:inline distT="0" distB="0" distL="0" distR="0">
            <wp:extent cx="15240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5C000" w:sz="4" w:space="1"/>
        </w:pBdr>
        <w:spacing w:after="120" w:before="12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6B1C24"/>
          <w:sz w:val="44"/>
          <w:szCs w:val="44"/>
        </w:rPr>
        <w:t xml:space="preserve">التقرير النهائي للدورة التدريبية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TRAINING FINAL REPORT</w:t>
      </w:r>
    </w:p>
    <w:p>
      <w:pPr>
        <w:pBdr>
          <w:bottom w:val="single" w:color="6B1C24" w:sz="4" w:space="1"/>
        </w:pBdr>
        <w:spacing w:after="120" w:before="12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Advanced Techniques for Food Sampling</w:t>
      </w:r>
    </w:p>
    <w:p>
      <w:pPr>
        <w:spacing w:after="4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8F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C24"/>
                <w:sz w:val="36"/>
                <w:szCs w:val="36"/>
              </w:rPr>
              <w:t xml:space="preserve">11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المتدربون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Trainees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36"/>
                <w:szCs w:val="36"/>
              </w:rPr>
              <w:t xml:space="preserve">67%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متوسط الأداء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Avg Score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89%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معدل الحضور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Attendance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36"/>
                <w:szCs w:val="36"/>
              </w:rPr>
              <w:t xml:space="preserve">4.8/5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تقييم المدرب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Trainer Rating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79/100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مؤشر الفاعلية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TEI Score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تاريخ الإصدار: 15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ACES Academy · Arab Center for Engineering Studies · Doha, Qatar</w:t>
      </w:r>
    </w:p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١. نبذة عن البرنامج التدريبي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1. Training Program Overview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اسم البرنامج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Program Name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Techniques for Food Sampling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المدرب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Trainer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Nadine Jamal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الجهة المنظِّمة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Organizing Body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Public Health — Food Safety Department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تاريخ البداية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Start Date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2026-05-10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تاريخ النهاية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End Date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2026-05-14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الموقع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Venue</w:t>
            </w:r>
          </w:p>
        </w:tc>
        <w:tc>
          <w:tcPr>
            <w:tcW w:type="dxa" w:w="6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فندق الشرق · Sharq Hotel, Doha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280"/>
      </w:pPr>
      <w:r>
        <w:rPr>
          <w:color w:val="6B1C24"/>
          <w:sz w:val="22"/>
          <w:szCs w:val="22"/>
        </w:rPr>
        <w:t xml:space="preserve">◾ </w:t>
      </w:r>
      <w:r>
        <w:rPr>
          <w:rFonts w:ascii="Arial" w:cs="Arial" w:eastAsia="Arial" w:hAnsi="Arial"/>
          <w:b/>
          <w:bCs/>
          <w:color w:val="6B1C24"/>
          <w:sz w:val="24"/>
          <w:szCs w:val="24"/>
        </w:rPr>
        <w:t xml:space="preserve">وصف البرنامج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(Program Description)</w:t>
      </w:r>
    </w:p>
    <w:p>
      <w:pPr>
        <w:pBdr>
          <w:right w:val="single" w:color="F5C000" w:sz="8" w:space="4"/>
        </w:pBdr>
        <w:shd w:fill="FAFAFA" w:val="clear"/>
        <w:spacing w:after="80" w:before="80"/>
        <w:ind w:right="240"/>
      </w:pPr>
      <w:r>
        <w:rPr>
          <w:rFonts w:ascii="Arial" w:cs="Arial" w:eastAsia="Arial" w:hAnsi="Arial"/>
          <w:sz w:val="20"/>
          <w:szCs w:val="20"/>
        </w:rPr>
        <w:t xml:space="preserve">دورة متقدمة في تقنيات سحب عينات الأغذية وفق المعايير الدولية ISO 2859</w:t>
      </w:r>
    </w:p>
    <w:p>
      <w:pPr>
        <w:spacing w:after="160" w:before="0"/>
      </w:pPr>
      <w:r>
        <w:t xml:space="preserve"/>
      </w:r>
    </w:p>
    <w:p>
      <w:pPr>
        <w:spacing w:after="120" w:before="280"/>
      </w:pPr>
      <w:r>
        <w:rPr>
          <w:color w:val="6B1C24"/>
          <w:sz w:val="22"/>
          <w:szCs w:val="22"/>
        </w:rPr>
        <w:t xml:space="preserve">◾ </w:t>
      </w:r>
      <w:r>
        <w:rPr>
          <w:rFonts w:ascii="Arial" w:cs="Arial" w:eastAsia="Arial" w:hAnsi="Arial"/>
          <w:b/>
          <w:bCs/>
          <w:color w:val="6B1C24"/>
          <w:sz w:val="24"/>
          <w:szCs w:val="24"/>
        </w:rPr>
        <w:t xml:space="preserve">أهداف الدورة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(Learning Objectives)</w:t>
      </w:r>
    </w:p>
    <w:p>
      <w:pPr>
        <w:spacing w:after="60" w:before="60"/>
        <w:ind w:right="360"/>
      </w:pPr>
      <w:r>
        <w:rPr>
          <w:rFonts w:ascii="Arial" w:cs="Arial" w:eastAsia="Arial" w:hAnsi="Arial"/>
          <w:b/>
          <w:bCs/>
          <w:color w:val="6B1C24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فهم معيار ISO 2859-1</w:t>
      </w:r>
    </w:p>
    <w:p>
      <w:pPr>
        <w:spacing w:after="60" w:before="60"/>
        <w:ind w:right="360"/>
      </w:pPr>
      <w:r>
        <w:rPr>
          <w:rFonts w:ascii="Arial" w:cs="Arial" w:eastAsia="Arial" w:hAnsi="Arial"/>
          <w:b/>
          <w:bCs/>
          <w:color w:val="6B1C24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إتقان بروتوكولات سحب العينات</w:t>
      </w:r>
    </w:p>
    <w:p>
      <w:pPr>
        <w:spacing w:after="60" w:before="60"/>
        <w:ind w:right="360"/>
      </w:pPr>
      <w:r>
        <w:rPr>
          <w:rFonts w:ascii="Arial" w:cs="Arial" w:eastAsia="Arial" w:hAnsi="Arial"/>
          <w:b/>
          <w:bCs/>
          <w:color w:val="6B1C24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التطبيق العملي على المنتجات الغذائية</w:t>
      </w:r>
    </w:p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٢. الملخص التنفيذي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2. Executive Summary</w:t>
      </w:r>
    </w:p>
    <w:p>
      <w:pPr>
        <w:spacing w:after="16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شارك في هذه الورشة التدريبية </w:t>
      </w:r>
      <w:r>
        <w:rPr>
          <w:rFonts w:ascii="Arial" w:cs="Arial" w:eastAsia="Arial" w:hAnsi="Arial"/>
          <w:b/>
          <w:bCs/>
          <w:color w:val="6B1C24"/>
          <w:sz w:val="22"/>
          <w:szCs w:val="22"/>
        </w:rPr>
        <w:t xml:space="preserve">11 متدرباً</w:t>
      </w:r>
      <w:r>
        <w:rPr>
          <w:rFonts w:ascii="Arial" w:cs="Arial" w:eastAsia="Arial" w:hAnsi="Arial"/>
          <w:sz w:val="22"/>
          <w:szCs w:val="22"/>
        </w:rPr>
        <w:t xml:space="preserve">، حقق منهم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8 (73%)</w:t>
      </w:r>
      <w:r>
        <w:rPr>
          <w:rFonts w:ascii="Arial" w:cs="Arial" w:eastAsia="Arial" w:hAnsi="Arial"/>
          <w:sz w:val="22"/>
          <w:szCs w:val="22"/>
        </w:rPr>
        <w:t xml:space="preserve"> نسبة نجاح. بلغ المتوسط العام للأداء </w:t>
      </w:r>
      <w:r>
        <w:rPr>
          <w:rFonts w:ascii="Arial" w:cs="Arial" w:eastAsia="Arial" w:hAnsi="Arial"/>
          <w:b/>
          <w:bCs/>
          <w:color w:val="C8830A"/>
          <w:sz w:val="22"/>
          <w:szCs w:val="22"/>
        </w:rPr>
        <w:t xml:space="preserve">67%</w:t>
      </w:r>
      <w:r>
        <w:rPr>
          <w:rFonts w:ascii="Arial" w:cs="Arial" w:eastAsia="Arial" w:hAnsi="Arial"/>
          <w:sz w:val="22"/>
          <w:szCs w:val="22"/>
        </w:rPr>
        <w:t xml:space="preserve"> وكان معدل الحضور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89%</w:t>
      </w:r>
      <w:r>
        <w:rPr>
          <w:rFonts w:ascii="Arial" w:cs="Arial" w:eastAsia="Arial" w:hAnsi="Arial"/>
          <w:sz w:val="22"/>
          <w:szCs w:val="22"/>
        </w:rPr>
        <w:t xml:space="preserve">. قيّم المتدربون المدرب بمتوسط </w:t>
      </w:r>
      <w:r>
        <w:rPr>
          <w:rFonts w:ascii="Arial" w:cs="Arial" w:eastAsia="Arial" w:hAnsi="Arial"/>
          <w:b/>
          <w:bCs/>
          <w:color w:val="C8830A"/>
          <w:sz w:val="22"/>
          <w:szCs w:val="22"/>
        </w:rPr>
        <w:t xml:space="preserve">4.8/5.0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right w:val="single" w:color="1E40AF" w:sz="12" w:space="4"/>
        </w:pBdr>
        <w:shd w:fill="DBEAFE" w:val="clear"/>
        <w:spacing w:after="80" w:before="80"/>
        <w:ind w:right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مؤشر فاعلية التدريب (TEI): </w:t>
      </w: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79/100 —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فاعلية جيدة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Training Effectiveness Index: 79/100</w:t>
      </w:r>
    </w:p>
    <w:p>
      <w:pPr>
        <w:spacing w:after="160" w:before="0"/>
      </w:pPr>
      <w:r>
        <w:t xml:space="preserve"/>
      </w:r>
    </w:p>
    <w:p>
      <w:pPr>
        <w:spacing w:after="120" w:before="280"/>
      </w:pPr>
      <w:r>
        <w:rPr>
          <w:color w:val="6B1C24"/>
          <w:sz w:val="22"/>
          <w:szCs w:val="22"/>
        </w:rPr>
        <w:t xml:space="preserve">◾ </w:t>
      </w:r>
      <w:r>
        <w:rPr>
          <w:rFonts w:ascii="Arial" w:cs="Arial" w:eastAsia="Arial" w:hAnsi="Arial"/>
          <w:b/>
          <w:bCs/>
          <w:color w:val="6B1C24"/>
          <w:sz w:val="24"/>
          <w:szCs w:val="24"/>
        </w:rPr>
        <w:t xml:space="preserve">توزيع المستويات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(Performance Levels Distribution)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ممتاز ≥85%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Excellent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جيد 70-84%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Good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36"/>
                <w:szCs w:val="36"/>
              </w:rPr>
              <w:t xml:space="preserve">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مقبول 60-69%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Acceptable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36"/>
                <w:szCs w:val="36"/>
              </w:rPr>
              <w:t xml:space="preserve">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دون المستوى &lt;60%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Below Standard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45"/>
                <w:sz w:val="36"/>
                <w:szCs w:val="36"/>
              </w:rPr>
              <w:t xml:space="preserve">11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أكمل البرنامج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Completed</w:t>
            </w:r>
          </w:p>
        </w:tc>
      </w:tr>
    </w:tbl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٣. نتائج المتدربين التفصيلية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3. Detailed Trainee Results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6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 / Name</w:t>
            </w:r>
          </w:p>
        </w:tc>
        <w:tc>
          <w:tcPr>
            <w:tcW w:type="dxa" w:w="1504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الجهة</w:t>
            </w:r>
          </w:p>
        </w:tc>
        <w:tc>
          <w:tcPr>
            <w:tcW w:type="dxa" w:w="1504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الحضور / Att.</w:t>
            </w:r>
          </w:p>
        </w:tc>
        <w:tc>
          <w:tcPr>
            <w:tcW w:type="dxa" w:w="1504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الأداء / Score</w:t>
            </w:r>
          </w:p>
        </w:tc>
        <w:tc>
          <w:tcPr>
            <w:tcW w:type="dxa" w:w="1504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المستوى / Level</w:t>
            </w:r>
          </w:p>
        </w:tc>
        <w:tc>
          <w:tcPr>
            <w:tcW w:type="dxa" w:w="1504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الشهادة / Cert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1. Eman Al Naimi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2. Amr Sharbasay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جيد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3. Dr. Rawad Dakkak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جيد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4. Telal Fadl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76%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جيد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5. Zayed Khuwar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76%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جيد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6. Dr. Mosab Ibrahim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68%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مقبول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7. Mohamad Alhasan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مقبول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8. Dr. Saddic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مقبول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9. Abdulaziz Al-Malki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دون المستوى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10. Ibrahim Al-Shamari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دون المستوى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  <w:tr>
        <w:tc>
          <w:tcPr>
            <w:tcW w:type="dxa" w:w="150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11. Anis Krim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(100%)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دون المستوى</w:t>
            </w:r>
          </w:p>
        </w:tc>
        <w:tc>
          <w:tcPr>
            <w:tcW w:type="dxa" w:w="150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مؤهل ✓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C24"/>
                <w:sz w:val="20"/>
                <w:szCs w:val="20"/>
              </w:rPr>
              <w:t xml:space="preserve">📊 متوسط الفصل الكلي  |  Class Average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30A"/>
                <w:sz w:val="24"/>
                <w:szCs w:val="24"/>
              </w:rPr>
              <w:t xml:space="preserve">67%</w:t>
            </w:r>
          </w:p>
        </w:tc>
      </w:tr>
    </w:tbl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٤. أهلية الشهادات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4. Certificate Eligibility</w:t>
      </w:r>
    </w:p>
    <w:p>
      <w:pPr>
        <w:spacing w:after="160" w:before="0"/>
      </w:pPr>
      <w:r>
        <w:t xml:space="preserve"/>
      </w:r>
    </w:p>
    <w:p>
      <w:pPr>
        <w:pBdr>
          <w:right w:val="single" w:color="C8830A" w:sz="10" w:space="4"/>
        </w:pBdr>
        <w:shd w:fill="FEF3C7" w:val="clear"/>
        <w:spacing w:after="120" w:before="60"/>
        <w:ind w:right="2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معيار القبول: حضور 100% (5/5 أيام)  |  Eligibility Criterion: 100% Attendance (5/5 days)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11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مؤهل للشهادة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Eligible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36"/>
                <w:szCs w:val="36"/>
              </w:rPr>
              <w:t xml:space="preserve">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غير مؤهل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Not Eligible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5C45"/>
                <w:sz w:val="36"/>
                <w:szCs w:val="36"/>
              </w:rPr>
              <w:t xml:space="preserve">100%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نسبة الأهلية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Eligibility Rate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280"/>
      </w:pPr>
      <w:r>
        <w:rPr>
          <w:color w:val="6B1C24"/>
          <w:sz w:val="22"/>
          <w:szCs w:val="22"/>
        </w:rPr>
        <w:t xml:space="preserve">◾ </w:t>
      </w:r>
      <w:r>
        <w:rPr>
          <w:rFonts w:ascii="Arial" w:cs="Arial" w:eastAsia="Arial" w:hAnsi="Arial"/>
          <w:b/>
          <w:bCs/>
          <w:color w:val="6B1C24"/>
          <w:sz w:val="24"/>
          <w:szCs w:val="24"/>
        </w:rPr>
        <w:t xml:space="preserve">قائمة المتدربين المؤهلين للشهادة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(List of Eligible Trainees)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2256"/>
        <w:gridCol w:w="2256"/>
        <w:gridCol w:w="2256"/>
      </w:tblGrid>
      <w:tr>
        <w:trPr>
          <w:tblHeader/>
        </w:trPr>
        <w:tc>
          <w:tcPr>
            <w:tcW w:type="dxa" w:w="2258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 / Name</w:t>
            </w:r>
          </w:p>
        </w:tc>
        <w:tc>
          <w:tcPr>
            <w:tcW w:type="dxa" w:w="2256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الجهة</w:t>
            </w:r>
          </w:p>
        </w:tc>
        <w:tc>
          <w:tcPr>
            <w:tcW w:type="dxa" w:w="2256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الحضور</w:t>
            </w:r>
          </w:p>
        </w:tc>
        <w:tc>
          <w:tcPr>
            <w:tcW w:type="dxa" w:w="2256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الأداء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Eman Al Naimi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Anis Krim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Mohamad Alhasan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Dr. Saddic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Dr. Mosab Ibrahim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68%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Amr Sharbasay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Dr. Rawad Dakkak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Abdulaziz Al-Malki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Telal Fadl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Zayed Khuwar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225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Ibrahim Al-Shamari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MoPH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5/5 ✓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48%</w:t>
            </w:r>
          </w:p>
        </w:tc>
      </w:tr>
    </w:tbl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٥. تقييم المدرب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5. Trainer Evaluation</w:t>
      </w:r>
    </w:p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متوسط التقييم العام: </w:t>
      </w:r>
      <w:r>
        <w:rPr>
          <w:rFonts w:ascii="Arial" w:cs="Arial" w:eastAsia="Arial" w:hAnsi="Arial"/>
          <w:b/>
          <w:bCs/>
          <w:color w:val="C8830A"/>
          <w:sz w:val="28"/>
          <w:szCs w:val="28"/>
        </w:rPr>
        <w:t xml:space="preserve">4.8 / 5.0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|  Overall Rating: 4.8/5.0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 / Criterion</w:t>
            </w:r>
          </w:p>
        </w:tc>
        <w:tc>
          <w:tcPr>
            <w:tcW w:type="dxa" w:w="3008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 / Rating</w:t>
            </w:r>
          </w:p>
        </w:tc>
        <w:tc>
          <w:tcPr>
            <w:tcW w:type="dxa" w:w="3008"/>
            <w:tcBorders>
              <w:top w:val="single" w:color="6B1C24" w:sz="4"/>
              <w:left w:val="single" w:color="6B1C24" w:sz="4"/>
              <w:bottom w:val="single" w:color="6B1C24" w:sz="4"/>
              <w:right w:val="single" w:color="6B1C24" w:sz="4"/>
            </w:tcBorders>
            <w:shd w:fill="6B1C2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التقدير / Grade</w:t>
            </w:r>
          </w:p>
        </w:tc>
      </w:tr>
      <w:tr>
        <w:tc>
          <w:tcPr>
            <w:tcW w:type="dxa" w:w="30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محتوى الدورة / Course Content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4.9/5.0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 / Excellent</w:t>
            </w:r>
          </w:p>
        </w:tc>
      </w:tr>
      <w:tr>
        <w:tc>
          <w:tcPr>
            <w:tcW w:type="dxa" w:w="30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أسلوب الشرح / Teaching Method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4.7/5.0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 / Excellent</w:t>
            </w:r>
          </w:p>
        </w:tc>
      </w:tr>
      <w:tr>
        <w:tc>
          <w:tcPr>
            <w:tcW w:type="dxa" w:w="30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التفاعل مع المتدربين / Trainee Engagement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4.8/5.0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 / Excellent</w:t>
            </w:r>
          </w:p>
        </w:tc>
      </w:tr>
      <w:tr>
        <w:tc>
          <w:tcPr>
            <w:tcW w:type="dxa" w:w="30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المواد التعليمية / Learning Materials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4.8/5.0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 / Excellent</w:t>
            </w:r>
          </w:p>
        </w:tc>
      </w:tr>
      <w:tr>
        <w:tc>
          <w:tcPr>
            <w:tcW w:type="dxa" w:w="301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الجدول الزمني / Time Management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4.6/5.0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ممتاز / Excellent</w:t>
            </w:r>
          </w:p>
        </w:tc>
      </w:tr>
    </w:tbl>
    <w:p>
      <w:r>
        <w:br w:type="page"/>
      </w:r>
    </w:p>
    <w:p>
      <w:pPr>
        <w:pBdr>
          <w:bottom w:val="single" w:color="F5C00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6B1C24"/>
          <w:sz w:val="28"/>
          <w:szCs w:val="28"/>
        </w:rPr>
        <w:t xml:space="preserve">٦. التوصيات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 |  6. Recommendations &amp; Conclusions</w:t>
      </w:r>
    </w:p>
    <w:p>
      <w:pPr>
        <w:spacing w:after="160" w:before="0"/>
      </w:pPr>
      <w:r>
        <w:t xml:space="preserve"/>
      </w:r>
    </w:p>
    <w:p>
      <w:pPr>
        <w:pBdr>
          <w:right w:val="single" w:color="0A5C45" w:sz="10" w:space="4"/>
        </w:pBdr>
        <w:shd w:fill="F0FDF4" w:val="clear"/>
        <w:spacing w:after="80" w:before="80"/>
        <w:ind w:right="240"/>
      </w:pPr>
      <w:r>
        <w:rPr>
          <w:sz w:val="22"/>
          <w:szCs w:val="22"/>
        </w:rPr>
        <w:t xml:space="preserve">🏆 </w:t>
      </w:r>
      <w:r>
        <w:rPr>
          <w:rFonts w:ascii="Arial" w:cs="Arial" w:eastAsia="Arial" w:hAnsi="Arial"/>
          <w:sz w:val="21"/>
          <w:szCs w:val="21"/>
        </w:rPr>
        <w:t xml:space="preserve">الأداء الكلي للدورة كان في المستوى المقبول — يُوصى بمتابعة نفس المنهج في الدورات القادمة.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
Overall performance was satisfactory. Recommend maintaining the same curriculum structure.</w:t>
      </w:r>
    </w:p>
    <w:p>
      <w:pPr>
        <w:pBdr>
          <w:right w:val="single" w:color="1E40AF" w:sz="10" w:space="4"/>
        </w:pBdr>
        <w:shd w:fill="EFF6FF" w:val="clear"/>
        <w:spacing w:after="80" w:before="80"/>
        <w:ind w:right="240"/>
      </w:pPr>
      <w:r>
        <w:rPr>
          <w:sz w:val="22"/>
          <w:szCs w:val="22"/>
        </w:rPr>
        <w:t xml:space="preserve">📚 </w:t>
      </w:r>
      <w:r>
        <w:rPr>
          <w:rFonts w:ascii="Arial" w:cs="Arial" w:eastAsia="Arial" w:hAnsi="Arial"/>
          <w:sz w:val="21"/>
          <w:szCs w:val="21"/>
        </w:rPr>
        <w:t xml:space="preserve">يُنصح بإعادة تقديم بعض المفاهيم لـ 4 متدربين سجلوا دون 60% لتعزيز استيعابهم.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
Additional support recommended for 4 trainees who scored below 60%.</w:t>
      </w:r>
    </w:p>
    <w:p>
      <w:pPr>
        <w:pBdr>
          <w:right w:val="single" w:color="0A5C45" w:sz="10" w:space="4"/>
        </w:pBdr>
        <w:shd w:fill="F0FDF4" w:val="clear"/>
        <w:spacing w:after="80" w:before="80"/>
        <w:ind w:right="240"/>
      </w:pPr>
      <w:r>
        <w:rPr>
          <w:sz w:val="22"/>
          <w:szCs w:val="22"/>
        </w:rPr>
        <w:t xml:space="preserve">⭐ </w:t>
      </w:r>
      <w:r>
        <w:rPr>
          <w:rFonts w:ascii="Arial" w:cs="Arial" w:eastAsia="Arial" w:hAnsi="Arial"/>
          <w:sz w:val="21"/>
          <w:szCs w:val="21"/>
        </w:rPr>
        <w:t xml:space="preserve">تقييم المدرب ممتاز (4.8/5) — يُوصى بتوثيق الأسلوب التدريبي كمرجع للدورات المستقبلية.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
Trainer evaluation was excellent (4.8/5). Recommend documenting the training methodology.</w:t>
      </w:r>
    </w:p>
    <w:p>
      <w:pPr>
        <w:pBdr>
          <w:right w:val="single" w:color="1E40AF" w:sz="10" w:space="4"/>
        </w:pBdr>
        <w:shd w:fill="EFF6FF" w:val="clear"/>
        <w:spacing w:after="80" w:before="80"/>
        <w:ind w:right="240"/>
      </w:pPr>
      <w:r>
        <w:rPr>
          <w:sz w:val="22"/>
          <w:szCs w:val="22"/>
        </w:rPr>
        <w:t xml:space="preserve">📅 </w:t>
      </w:r>
      <w:r>
        <w:rPr>
          <w:rFonts w:ascii="Arial" w:cs="Arial" w:eastAsia="Arial" w:hAnsi="Arial"/>
          <w:sz w:val="21"/>
          <w:szCs w:val="21"/>
        </w:rPr>
        <w:t xml:space="preserve">معدل الحضور 89% — يُقترح تفعيل نظام تذكير مسبق قبل بدء كل يوم تدريبي.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
Attendance rate of 89%. Suggest implementing a pre-session reminder system.</w:t>
      </w:r>
    </w:p>
    <w:p>
      <w:pPr>
        <w:spacing w:after="320" w:before="0"/>
      </w:pPr>
      <w:r>
        <w:t xml:space="preserve"/>
      </w:r>
    </w:p>
    <w:p>
      <w:pPr>
        <w:pBdr>
          <w:bottom w:val="single" w:color="F5C000" w:sz="4" w:space="1"/>
        </w:pBdr>
        <w:spacing w:after="120" w:before="120"/>
      </w:pPr>
      <w:r>
        <w:t xml:space="preserve"/>
      </w:r>
    </w:p>
    <w:p>
      <w:pPr>
        <w:spacing w:after="480" w:before="0"/>
      </w:pPr>
      <w:r>
        <w:t xml:space="preserve"/>
      </w:r>
    </w:p>
    <w:p>
      <w:pPr>
        <w:spacing w:after="120" w:before="280"/>
      </w:pPr>
      <w:r>
        <w:rPr>
          <w:color w:val="6B1C24"/>
          <w:sz w:val="22"/>
          <w:szCs w:val="22"/>
        </w:rPr>
        <w:t xml:space="preserve">◾ </w:t>
      </w:r>
      <w:r>
        <w:rPr>
          <w:rFonts w:ascii="Arial" w:cs="Arial" w:eastAsia="Arial" w:hAnsi="Arial"/>
          <w:b/>
          <w:bCs/>
          <w:color w:val="6B1C24"/>
          <w:sz w:val="24"/>
          <w:szCs w:val="24"/>
        </w:rPr>
        <w:t xml:space="preserve">التوقيع والاعتماد الرسمي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(Official Signature &amp; Endorsement)</w:t>
      </w:r>
    </w:p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6B1C24" w:sz="6"/>
              </w:pBdr>
              <w:spacing w:after="0" w:before="480"/>
              <w:jc w:val="center"/>
            </w:pPr>
            <w:r>
              <w:t xml:space="preserve"/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Ghaleb al Zubi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Branch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C24"/>
                <w:sz w:val="18"/>
                <w:szCs w:val="18"/>
              </w:rPr>
              <w:t xml:space="preserve">ACES Doha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[ الختم الرسمي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OFFICIAL SEAL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 May 2026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000" w:sz="4"/>
      </w:pBdr>
      <w:tabs>
        <w:tab w:val="center" w:pos="4500"/>
        <w:tab w:val="right" w:pos="9026"/>
      </w:tabs>
      <w:spacing w:before="120"/>
    </w:pPr>
    <w:r>
      <w:rPr>
        <w:rFonts w:ascii="Arial" w:cs="Arial" w:eastAsia="Arial" w:hAnsi="Arial"/>
        <w:color w:val="777777"/>
        <w:sz w:val="16"/>
        <w:szCs w:val="16"/>
      </w:rPr>
      <w:t xml:space="preserve">ACES Academy · Arab Center for Engineering Studies · Doha, Qatar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Ministry of Public Health · State of Qatar</w:t>
    </w:r>
    <w:r>
      <w:rPr>
        <w:sz w:val="16"/>
        <w:szCs w:val="16"/>
      </w:rPr>
      <w:t xml:space="preserve">	</w:t>
    </w:r>
    <w:r>
      <w:rPr>
        <w:color w:val="555555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1C24" w:sz="6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ACES Academy — Training Final Report  |  التقرير النهائي للدورة التدريبية</w:t>
    </w:r>
    <w:r>
      <w:rPr>
        <w:rFonts w:ascii="Arial" w:cs="Arial" w:eastAsia="Arial" w:hAnsi="Arial"/>
        <w:color w:val="888888"/>
        <w:sz w:val="17"/>
        <w:szCs w:val="17"/>
      </w:rPr>
      <w:t xml:space="preserve">  |  Advanced Techniques for Food Sampling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a4caaa044d0ad4c6499c1c07ecf78fe7d2c910.jpg"/><Relationship Id="rId10" Type="http://schemas.openxmlformats.org/officeDocument/2006/relationships/image" Target="media/3d866c3f5d2d782a000b3ef648eb442cc1663e81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Final Report — Advanced Techniques for Food Sampling</dc:title>
  <dc:subject>Post-Training Evaluation &amp; Assessment Report</dc:subject>
  <dc:creator>ACES Academy — Training Management System</dc:creator>
  <cp:keywords>ACES, Training, Report, Food Safety, Ministry of Public Health</cp:keywords>
  <dc:description>Official training final report prepared by ACES Academy for Ministry of Public Health, Qatar</dc:description>
  <cp:lastModifiedBy>Un-named</cp:lastModifiedBy>
  <cp:revision>1</cp:revision>
  <dcterms:created xsi:type="dcterms:W3CDTF">2026-05-15T11:32:30.806Z</dcterms:created>
  <dcterms:modified xsi:type="dcterms:W3CDTF">2026-05-15T11:32:30.807Z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