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7E" w:rsidRDefault="007321F8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Pr="007321F8">
        <w:rPr>
          <w:b/>
          <w:bCs/>
        </w:rPr>
        <w:t>Система прослеживаемости импортных товаров</w:t>
      </w:r>
      <w:r w:rsidR="004862B8">
        <w:rPr>
          <w:b/>
          <w:bCs/>
        </w:rPr>
        <w:t xml:space="preserve"> 1 июля 2020г.</w:t>
      </w:r>
    </w:p>
    <w:p w:rsidR="00294A7E" w:rsidRPr="007321F8" w:rsidRDefault="007321F8" w:rsidP="007321F8">
      <w:pPr>
        <w:numPr>
          <w:ilvl w:val="0"/>
          <w:numId w:val="1"/>
        </w:numPr>
      </w:pPr>
      <w:r w:rsidRPr="007321F8">
        <w:rPr>
          <w:b/>
          <w:bCs/>
        </w:rPr>
        <w:t xml:space="preserve">товарам из перечня присваивают регистрационные номера. По импорту 2020 года это сделает таможня сразу после ввоза. </w:t>
      </w:r>
    </w:p>
    <w:p w:rsidR="00294A7E" w:rsidRPr="007321F8" w:rsidRDefault="007321F8" w:rsidP="007321F8">
      <w:pPr>
        <w:numPr>
          <w:ilvl w:val="0"/>
          <w:numId w:val="1"/>
        </w:numPr>
      </w:pPr>
      <w:r w:rsidRPr="007321F8">
        <w:rPr>
          <w:b/>
          <w:bCs/>
        </w:rPr>
        <w:t xml:space="preserve">если товар ввезли раньше, номер присвоит ФНС. Для этого налоговикам нужна информация об остатках на 1 июля 2020 года. </w:t>
      </w:r>
    </w:p>
    <w:p w:rsidR="00294A7E" w:rsidRPr="007321F8" w:rsidRDefault="007321F8" w:rsidP="007321F8">
      <w:pPr>
        <w:numPr>
          <w:ilvl w:val="0"/>
          <w:numId w:val="1"/>
        </w:numPr>
      </w:pPr>
      <w:r w:rsidRPr="007321F8">
        <w:rPr>
          <w:b/>
          <w:bCs/>
        </w:rPr>
        <w:t>отчитаться в инспекцию об остатках товаров необходимо будет не позднее 30 июля 2020 года.</w:t>
      </w:r>
    </w:p>
    <w:p w:rsidR="007321F8" w:rsidRPr="007321F8" w:rsidRDefault="007321F8" w:rsidP="007321F8">
      <w:r w:rsidRPr="007321F8">
        <w:t>После отгрузки товара из перечня организация обязана оформить и направить покупателю через оператора электронного документооборота по телекоммуникационным каналам связи один за двух документов:</w:t>
      </w:r>
    </w:p>
    <w:p w:rsidR="00294A7E" w:rsidRPr="007321F8" w:rsidRDefault="007321F8" w:rsidP="007321F8">
      <w:pPr>
        <w:numPr>
          <w:ilvl w:val="0"/>
          <w:numId w:val="2"/>
        </w:numPr>
      </w:pPr>
      <w:r w:rsidRPr="007321F8">
        <w:t>документ об отгрузке (неплательщики НДС);</w:t>
      </w:r>
    </w:p>
    <w:p w:rsidR="00294A7E" w:rsidRDefault="007321F8" w:rsidP="007321F8">
      <w:pPr>
        <w:numPr>
          <w:ilvl w:val="0"/>
          <w:numId w:val="2"/>
        </w:numPr>
      </w:pPr>
      <w:r w:rsidRPr="007321F8">
        <w:t>счет-фактуру (плательщики НДС).</w:t>
      </w:r>
    </w:p>
    <w:p w:rsidR="007321F8" w:rsidRPr="007321F8" w:rsidRDefault="007321F8" w:rsidP="007321F8">
      <w:pPr>
        <w:numPr>
          <w:ilvl w:val="0"/>
          <w:numId w:val="2"/>
        </w:numPr>
      </w:pPr>
      <w:r w:rsidRPr="007321F8">
        <w:t>Налогоплательщики обязаны отчитаться об операциях с прослеживаемыми товарами не позднее 25-го числа месяца, следующего за окончанием квартала. Для этого в обслуживающую налоговую инспекцию необходимо направить по каналам связи один из двух документов:</w:t>
      </w:r>
    </w:p>
    <w:p w:rsidR="00294A7E" w:rsidRPr="007321F8" w:rsidRDefault="007321F8" w:rsidP="007321F8">
      <w:pPr>
        <w:numPr>
          <w:ilvl w:val="0"/>
          <w:numId w:val="2"/>
        </w:numPr>
      </w:pPr>
      <w:r w:rsidRPr="007321F8">
        <w:t>налоговую декларацию (плательщики НДС по операциям, облагаемым НДС);</w:t>
      </w:r>
    </w:p>
    <w:p w:rsidR="00294A7E" w:rsidRPr="007321F8" w:rsidRDefault="007321F8" w:rsidP="007321F8">
      <w:pPr>
        <w:numPr>
          <w:ilvl w:val="0"/>
          <w:numId w:val="2"/>
        </w:numPr>
      </w:pPr>
      <w:r w:rsidRPr="007321F8">
        <w:t>отчет об операциях с товарами, подлежащими прослеживаемости (все иные случаи: неплательщики НДС, операции, не облагаемые НДС, и т. д.).</w:t>
      </w:r>
    </w:p>
    <w:p w:rsidR="007321F8" w:rsidRPr="007321F8" w:rsidRDefault="007321F8" w:rsidP="007321F8">
      <w:pPr>
        <w:numPr>
          <w:ilvl w:val="0"/>
          <w:numId w:val="2"/>
        </w:numPr>
      </w:pPr>
      <w:r w:rsidRPr="007321F8">
        <w:t xml:space="preserve">Для </w:t>
      </w:r>
      <w:r w:rsidRPr="007321F8">
        <w:rPr>
          <w:b/>
          <w:bCs/>
        </w:rPr>
        <w:t xml:space="preserve">неплательщиков НДС </w:t>
      </w:r>
      <w:r w:rsidRPr="007321F8">
        <w:t>учет сильно усложнится. Они должны будут составлять новые формы и сдавать отчетность, которую раньше представлять были не обязаны. Кроме того, этим организациям придется внедрить электронный документооборот.</w:t>
      </w:r>
    </w:p>
    <w:p w:rsidR="007321F8" w:rsidRPr="007321F8" w:rsidRDefault="007321F8" w:rsidP="007321F8">
      <w:pPr>
        <w:numPr>
          <w:ilvl w:val="0"/>
          <w:numId w:val="2"/>
        </w:numPr>
      </w:pPr>
      <w:r w:rsidRPr="007321F8">
        <w:t>Даже при покупке, например, холодильника или монитора для собственных нужд они все равно обязаны будут подключиться к оператору, получить счет-фактуру по каналам связи и отчитаться об операции в налоговую в электронной форме.</w:t>
      </w:r>
    </w:p>
    <w:tbl>
      <w:tblPr>
        <w:tblW w:w="18740" w:type="dxa"/>
        <w:tblCellMar>
          <w:left w:w="0" w:type="dxa"/>
          <w:right w:w="0" w:type="dxa"/>
        </w:tblCellMar>
        <w:tblLook w:val="04A0"/>
      </w:tblPr>
      <w:tblGrid>
        <w:gridCol w:w="1935"/>
        <w:gridCol w:w="16805"/>
      </w:tblGrid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19" w:type="dxa"/>
              <w:left w:w="11" w:type="dxa"/>
              <w:bottom w:w="19" w:type="dxa"/>
              <w:right w:w="33" w:type="dxa"/>
            </w:tcMar>
            <w:vAlign w:val="center"/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Код по ОКПД 2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19" w:type="dxa"/>
              <w:left w:w="11" w:type="dxa"/>
              <w:bottom w:w="19" w:type="dxa"/>
              <w:right w:w="33" w:type="dxa"/>
            </w:tcMar>
            <w:vAlign w:val="center"/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Наименование товара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27.51.11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Холодильники и морозильники бытовые</w:t>
            </w:r>
          </w:p>
        </w:tc>
      </w:tr>
      <w:tr w:rsidR="007321F8" w:rsidRPr="007321F8" w:rsidTr="007321F8">
        <w:trPr>
          <w:trHeight w:val="391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28.25.13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Оборудование холодильное и морозильное и тепловые насосы, кроме бытового оборудования</w:t>
            </w:r>
          </w:p>
        </w:tc>
      </w:tr>
      <w:tr w:rsidR="007321F8" w:rsidRPr="007321F8" w:rsidTr="007321F8">
        <w:trPr>
          <w:trHeight w:val="376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28.22.15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Автопогрузчики с вилочным захватом, прочие погрузчики, тягачи, используемые на платформах железнодорожных станций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28.92.21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Бульдозеры и бульдозеры с поворотным отвалом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28.92.22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Грейдеры и планировщики самоходные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28.92.24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Машины трамбовочные и дорожные катки самоходные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28.92.25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Погрузчики фронтальные одноковшовые самоходные</w:t>
            </w:r>
          </w:p>
        </w:tc>
      </w:tr>
      <w:tr w:rsidR="007321F8" w:rsidRPr="007321F8" w:rsidTr="007321F8">
        <w:trPr>
          <w:trHeight w:val="404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28.92.26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Экскаваторы одноковшовые и ковшовые погрузчики самоходные с поворотом кабины на 360° (полноповоротные машины), кроме фронтальных одноковшовых погрузчиков</w:t>
            </w:r>
          </w:p>
        </w:tc>
      </w:tr>
      <w:tr w:rsidR="007321F8" w:rsidRPr="007321F8" w:rsidTr="007321F8">
        <w:trPr>
          <w:trHeight w:val="3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28.92.27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Экскаваторы и одноковшовые погрузчики самоходные прочие, прочие самоходные машины для добычи полезных ископаемых</w:t>
            </w:r>
          </w:p>
        </w:tc>
      </w:tr>
      <w:tr w:rsidR="007321F8" w:rsidRPr="007321F8" w:rsidTr="007321F8">
        <w:trPr>
          <w:trHeight w:val="40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lastRenderedPageBreak/>
              <w:t>27.51.13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Машины стиральные бытовые и машины для сушки одежды (ТН ВЭД ЕАЭС 8450)</w:t>
            </w:r>
          </w:p>
        </w:tc>
      </w:tr>
      <w:tr w:rsidR="007321F8" w:rsidRPr="007321F8" w:rsidTr="007321F8">
        <w:trPr>
          <w:trHeight w:val="386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28.94.22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Машины стиральные для прачечных, машины для сухой чистки, сушильные машины с загрузкой более 10 кг (ТН ВЭД ЕАЭС 8450)</w:t>
            </w:r>
          </w:p>
        </w:tc>
      </w:tr>
      <w:tr w:rsidR="007321F8" w:rsidRPr="007321F8" w:rsidTr="007321F8">
        <w:trPr>
          <w:trHeight w:val="35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27.51.13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Машины стиральные бытовые и машины для сушки одежды (ТН ВЭД ЕАЭС 8451)</w:t>
            </w:r>
          </w:p>
        </w:tc>
      </w:tr>
      <w:tr w:rsidR="007321F8" w:rsidRPr="007321F8" w:rsidTr="007321F8">
        <w:trPr>
          <w:trHeight w:val="67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28.94.21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Оборудование для промывки, чистки, отжима, глажения, прессования, крашения, наматывания и аналогичных способов обработки текстильной пряжи и текстильных изделий, оборудование для обработки фетра</w:t>
            </w:r>
          </w:p>
        </w:tc>
      </w:tr>
      <w:tr w:rsidR="007321F8" w:rsidRPr="007321F8" w:rsidTr="007321F8">
        <w:trPr>
          <w:trHeight w:val="437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28.94.22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Машины стиральные для прачечных, машины для сухой чистки, сушильные машины с загрузкой более 10 кг (ТН ВЭД ЕАЭС 8451)</w:t>
            </w:r>
          </w:p>
        </w:tc>
      </w:tr>
      <w:tr w:rsidR="007321F8" w:rsidRPr="007321F8" w:rsidTr="007321F8">
        <w:trPr>
          <w:trHeight w:val="60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26.20.17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Мониторы и проекторы, преимущественно используемые в системах автоматической обработки данных</w:t>
            </w:r>
          </w:p>
        </w:tc>
      </w:tr>
      <w:tr w:rsidR="007321F8" w:rsidRPr="007321F8" w:rsidTr="007321F8">
        <w:trPr>
          <w:trHeight w:val="71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26.40.20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Приемники телевизионные, совмещенные или не совмещенные с широковещательными радиоприемниками или аппаратурой для записи или воспроизведения звука или изображения</w:t>
            </w:r>
          </w:p>
        </w:tc>
      </w:tr>
      <w:tr w:rsidR="007321F8" w:rsidRPr="007321F8" w:rsidTr="007321F8">
        <w:trPr>
          <w:trHeight w:val="40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26.40.34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Мониторы и проекторы, без встроенной телевизионной приемной аппаратуры и в основном не используемые в системах автоматической обработки данных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30.92.40.110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Коляски детские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31.01.11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Мебель металлическая для офисов</w:t>
            </w:r>
          </w:p>
        </w:tc>
      </w:tr>
      <w:tr w:rsidR="007321F8" w:rsidRPr="007321F8" w:rsidTr="007321F8">
        <w:trPr>
          <w:trHeight w:val="46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31.09.11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Мебель металлическая, не включенная в другие группировки</w:t>
            </w:r>
          </w:p>
        </w:tc>
      </w:tr>
      <w:tr w:rsidR="007321F8" w:rsidRPr="007321F8" w:rsidTr="007321F8">
        <w:trPr>
          <w:trHeight w:val="3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26.11.30</w:t>
            </w:r>
          </w:p>
        </w:tc>
        <w:tc>
          <w:tcPr>
            <w:tcW w:w="1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5" w:type="dxa"/>
              <w:left w:w="11" w:type="dxa"/>
              <w:bottom w:w="3" w:type="dxa"/>
              <w:right w:w="33" w:type="dxa"/>
            </w:tcMar>
            <w:hideMark/>
          </w:tcPr>
          <w:p w:rsidR="00294A7E" w:rsidRPr="007321F8" w:rsidRDefault="007321F8" w:rsidP="007321F8">
            <w:pPr>
              <w:ind w:left="720"/>
            </w:pPr>
            <w:r w:rsidRPr="007321F8">
              <w:t>Схемы интегральные электронные</w:t>
            </w:r>
          </w:p>
        </w:tc>
      </w:tr>
    </w:tbl>
    <w:p w:rsidR="007321F8" w:rsidRPr="007321F8" w:rsidRDefault="007321F8" w:rsidP="007321F8">
      <w:pPr>
        <w:ind w:left="720"/>
      </w:pPr>
    </w:p>
    <w:p w:rsidR="007321F8" w:rsidRDefault="007321F8"/>
    <w:sectPr w:rsidR="007321F8" w:rsidSect="00732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9F6"/>
    <w:multiLevelType w:val="hybridMultilevel"/>
    <w:tmpl w:val="248A48D4"/>
    <w:lvl w:ilvl="0" w:tplc="4A447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CC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2F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EB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28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25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CA0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A8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3A3E5D"/>
    <w:multiLevelType w:val="hybridMultilevel"/>
    <w:tmpl w:val="5BD0BDBA"/>
    <w:lvl w:ilvl="0" w:tplc="037E6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C6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43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0A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6F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C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CB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4F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AF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D93967"/>
    <w:multiLevelType w:val="hybridMultilevel"/>
    <w:tmpl w:val="7CDA59C8"/>
    <w:lvl w:ilvl="0" w:tplc="D6DE9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48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1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03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23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40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0D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8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A1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7321F8"/>
    <w:rsid w:val="00294A7E"/>
    <w:rsid w:val="004862B8"/>
    <w:rsid w:val="0073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2019-12-01T06:09:00Z</dcterms:created>
  <dcterms:modified xsi:type="dcterms:W3CDTF">2019-12-01T06:15:00Z</dcterms:modified>
</cp:coreProperties>
</file>