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F5F74">
      <w:pPr>
        <w:pStyle w:val="2"/>
      </w:pPr>
      <w:r>
        <w:rPr>
          <w:b/>
        </w:rPr>
        <w:t>基于霍尔三维结构模式的大学生就业难问题系统化研究</w:t>
      </w:r>
    </w:p>
    <w:p w14:paraId="52F976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rPr>
      </w:pPr>
      <w:r>
        <w:rPr>
          <w:rFonts w:hint="eastAsia" w:ascii="仿宋" w:hAnsi="仿宋" w:eastAsia="仿宋" w:cs="仿宋"/>
          <w:b/>
        </w:rPr>
        <w:t>摘要</w:t>
      </w:r>
      <w:r>
        <w:rPr>
          <w:rFonts w:hint="eastAsia" w:ascii="仿宋" w:hAnsi="仿宋" w:eastAsia="仿宋" w:cs="仿宋"/>
        </w:rPr>
        <w:t>：本文针对当前日趋严峻的大学生就业问题，特别是疫情后出现的校招实效下降、信息差扩大及就业市场结构性矛盾凸显等现象，运用系统工程学中的霍尔三维结构模式进行了系统分析。研究从时间维、逻辑维和知识维三个维度，构建了一个贯穿大学教育全周期的就业问题解决方案框架，旨在破解信息不对称、教育供给与市场需求错配、个体职业规划缺失及资源分配不均等多重困境。文章提出，解决大学生就业难问题需采取系统化、多学科整合的路径，强化顶层设计、促进资源共享、深化校企合作，并为高校就业工作体系的优化提供了具体的方法论指导与实践建议。</w:t>
      </w:r>
    </w:p>
    <w:p w14:paraId="53A348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rPr>
      </w:pPr>
      <w:r>
        <w:rPr>
          <w:rFonts w:hint="eastAsia" w:ascii="仿宋" w:hAnsi="仿宋" w:eastAsia="仿宋" w:cs="仿宋"/>
          <w:b/>
        </w:rPr>
        <w:t>关键词</w:t>
      </w:r>
      <w:r>
        <w:rPr>
          <w:rFonts w:hint="eastAsia" w:ascii="仿宋" w:hAnsi="仿宋" w:eastAsia="仿宋" w:cs="仿宋"/>
        </w:rPr>
        <w:t>：大学生就业；霍尔三维结构；系统工程；职业规划；校企合作</w:t>
      </w:r>
    </w:p>
    <w:p w14:paraId="3404D68A">
      <w:pPr>
        <w:pStyle w:val="3"/>
      </w:pPr>
      <w:r>
        <w:rPr>
          <w:b/>
        </w:rPr>
        <w:t>1 研究背景</w:t>
      </w:r>
    </w:p>
    <w:p w14:paraId="2D50D7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当前，我国高校毕业生就业形势日趋复杂严峻，已成为关乎社会发展与稳定的重要议题。2025年数据显示，应届生人数突破千万，岗位竞争比例已达1:10的紧张状态。在这一宏观背景下，大学生就业问题呈现出多层次、多维度的复杂性特征，不仅关系到经济发展需求与人才培养供给之间的平衡，更深刻影响着教育体系的导向与个体生涯发展路径。</w:t>
      </w:r>
    </w:p>
    <w:p w14:paraId="7F0B8A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技术变革与人工智能的迅猛发展、产业结构的深度调整对人才需求产生了根本性影响，而教育与培训体系的改革却相对迟滞，无法迅速响应市场变化。与此同时，在信息不完美条件下，劳动力市场中的信息不对称现象进一步加剧了摩擦性失业，使得用人单位与求职学生之间的匹配效率大幅降低。值得注意的是，近年来高校毕业生“慢就业”现象日益突出，这是多种因素复合作用的结果，既反映了市场需求迭代与教育供应迟滞之间的矛盾，也体现了社会变迁加速与个体生涯调适选择受限之间的冲突。</w:t>
      </w:r>
    </w:p>
    <w:p w14:paraId="01649D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更为深层次的问题在于，就业市场资源分配的不均衡导致了地域、院校类型、专业和性别之间的就业机会差异。作为一名2025年毕业生，笔者亲历了民办院校与职业技术大学在就业资源与校企合作实效上的显著差距，目睹了文科专业与女性毕业生在求职过程中面临的多重障碍。这些现实情况凸显了构建系统性解决方案的迫切需求，而霍尔三维结构模式作为处理复杂系统的经典方法论，恰恰能为破解这一难题提供科学框架。</w:t>
      </w:r>
    </w:p>
    <w:p w14:paraId="3E66B716">
      <w:pPr>
        <w:pStyle w:val="3"/>
      </w:pPr>
      <w:r>
        <w:rPr>
          <w:b/>
        </w:rPr>
        <w:t>2 问题描述：大学生就业难的多维系统分析</w:t>
      </w:r>
    </w:p>
    <w:p w14:paraId="36AFEB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大学生就业难问题是一个典型的复杂系统问题，其构成要素多元、相互作用机制错综复杂。从系统视角分析，这一问题可从信息不对称、教育供给错配、个体规划缺失及资源分配不均四个核心维度进行解析（表1）。</w:t>
      </w:r>
    </w:p>
    <w:p w14:paraId="15F342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sz w:val="24"/>
          <w:szCs w:val="24"/>
        </w:rPr>
      </w:pPr>
    </w:p>
    <w:p w14:paraId="5113794F">
      <w:pPr>
        <w:rPr>
          <w:sz w:val="21"/>
          <w:szCs w:val="21"/>
        </w:rPr>
      </w:pPr>
      <w:r>
        <w:rPr>
          <w:b/>
          <w:sz w:val="21"/>
          <w:szCs w:val="21"/>
        </w:rPr>
        <w:t>表1 大学生就业难问题的核心维度分析</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40EE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left w:w="108" w:type="dxa"/>
              <w:right w:w="108" w:type="dxa"/>
            </w:tcMar>
            <w:vAlign w:val="center"/>
          </w:tcPr>
          <w:p w14:paraId="36404C1E">
            <w:pPr>
              <w:jc w:val="center"/>
              <w:rPr>
                <w:b/>
                <w:sz w:val="21"/>
                <w:szCs w:val="21"/>
              </w:rPr>
            </w:pPr>
            <w:r>
              <w:rPr>
                <w:b/>
                <w:sz w:val="21"/>
                <w:szCs w:val="21"/>
              </w:rPr>
              <w:t>问题维度</w:t>
            </w:r>
          </w:p>
        </w:tc>
        <w:tc>
          <w:tcPr>
            <w:tcW w:w="0" w:type="auto"/>
            <w:tcMar>
              <w:left w:w="108" w:type="dxa"/>
              <w:right w:w="108" w:type="dxa"/>
            </w:tcMar>
            <w:vAlign w:val="center"/>
          </w:tcPr>
          <w:p w14:paraId="265F189C">
            <w:pPr>
              <w:jc w:val="center"/>
              <w:rPr>
                <w:b/>
                <w:sz w:val="21"/>
                <w:szCs w:val="21"/>
              </w:rPr>
            </w:pPr>
            <w:r>
              <w:rPr>
                <w:b/>
                <w:sz w:val="21"/>
                <w:szCs w:val="21"/>
              </w:rPr>
              <w:t>主要表现</w:t>
            </w:r>
          </w:p>
        </w:tc>
        <w:tc>
          <w:tcPr>
            <w:tcW w:w="0" w:type="auto"/>
            <w:tcMar>
              <w:left w:w="108" w:type="dxa"/>
              <w:right w:w="108" w:type="dxa"/>
            </w:tcMar>
            <w:vAlign w:val="center"/>
          </w:tcPr>
          <w:p w14:paraId="78BC809E">
            <w:pPr>
              <w:jc w:val="center"/>
              <w:rPr>
                <w:b/>
                <w:sz w:val="21"/>
                <w:szCs w:val="21"/>
              </w:rPr>
            </w:pPr>
            <w:r>
              <w:rPr>
                <w:b/>
                <w:sz w:val="21"/>
                <w:szCs w:val="21"/>
              </w:rPr>
              <w:t>关键影响</w:t>
            </w:r>
          </w:p>
        </w:tc>
      </w:tr>
      <w:tr w14:paraId="5E09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left w:w="108" w:type="dxa"/>
              <w:right w:w="108" w:type="dxa"/>
            </w:tcMar>
            <w:vAlign w:val="center"/>
          </w:tcPr>
          <w:p w14:paraId="047FF66E">
            <w:pPr>
              <w:rPr>
                <w:sz w:val="21"/>
                <w:szCs w:val="21"/>
              </w:rPr>
            </w:pPr>
            <w:r>
              <w:rPr>
                <w:b/>
                <w:sz w:val="21"/>
                <w:szCs w:val="21"/>
              </w:rPr>
              <w:t>信息不对称</w:t>
            </w:r>
          </w:p>
        </w:tc>
        <w:tc>
          <w:tcPr>
            <w:tcW w:w="0" w:type="auto"/>
            <w:tcMar>
              <w:left w:w="108" w:type="dxa"/>
              <w:right w:w="108" w:type="dxa"/>
            </w:tcMar>
            <w:vAlign w:val="center"/>
          </w:tcPr>
          <w:p w14:paraId="4E86BCFD">
            <w:pPr>
              <w:rPr>
                <w:sz w:val="21"/>
                <w:szCs w:val="21"/>
              </w:rPr>
            </w:pPr>
            <w:r>
              <w:rPr>
                <w:sz w:val="21"/>
                <w:szCs w:val="21"/>
              </w:rPr>
              <w:t>对市场动态、招聘渠道、政策价值认知不清</w:t>
            </w:r>
          </w:p>
        </w:tc>
        <w:tc>
          <w:tcPr>
            <w:tcW w:w="0" w:type="auto"/>
            <w:tcMar>
              <w:left w:w="108" w:type="dxa"/>
              <w:right w:w="108" w:type="dxa"/>
            </w:tcMar>
            <w:vAlign w:val="center"/>
          </w:tcPr>
          <w:p w14:paraId="1701FB43">
            <w:pPr>
              <w:rPr>
                <w:sz w:val="21"/>
                <w:szCs w:val="21"/>
              </w:rPr>
            </w:pPr>
            <w:r>
              <w:rPr>
                <w:sz w:val="21"/>
                <w:szCs w:val="21"/>
              </w:rPr>
              <w:t>求职准备与市场需求错位，匹配效率降低</w:t>
            </w:r>
          </w:p>
        </w:tc>
      </w:tr>
      <w:tr w14:paraId="792B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left w:w="108" w:type="dxa"/>
              <w:right w:w="108" w:type="dxa"/>
            </w:tcMar>
            <w:vAlign w:val="center"/>
          </w:tcPr>
          <w:p w14:paraId="4ABEF65F">
            <w:pPr>
              <w:rPr>
                <w:sz w:val="21"/>
                <w:szCs w:val="21"/>
              </w:rPr>
            </w:pPr>
            <w:r>
              <w:rPr>
                <w:b/>
                <w:sz w:val="21"/>
                <w:szCs w:val="21"/>
              </w:rPr>
              <w:t>教育供给与需求错配</w:t>
            </w:r>
          </w:p>
        </w:tc>
        <w:tc>
          <w:tcPr>
            <w:tcW w:w="0" w:type="auto"/>
            <w:tcMar>
              <w:left w:w="108" w:type="dxa"/>
              <w:right w:w="108" w:type="dxa"/>
            </w:tcMar>
            <w:vAlign w:val="center"/>
          </w:tcPr>
          <w:p w14:paraId="163C3F60">
            <w:pPr>
              <w:rPr>
                <w:sz w:val="21"/>
                <w:szCs w:val="21"/>
              </w:rPr>
            </w:pPr>
            <w:r>
              <w:rPr>
                <w:sz w:val="21"/>
                <w:szCs w:val="21"/>
              </w:rPr>
              <w:t>专业设置滞后，课程重理论轻实践，能力结构不符</w:t>
            </w:r>
          </w:p>
        </w:tc>
        <w:tc>
          <w:tcPr>
            <w:tcW w:w="0" w:type="auto"/>
            <w:tcMar>
              <w:left w:w="108" w:type="dxa"/>
              <w:right w:w="108" w:type="dxa"/>
            </w:tcMar>
            <w:vAlign w:val="center"/>
          </w:tcPr>
          <w:p w14:paraId="517F5B12">
            <w:pPr>
              <w:rPr>
                <w:sz w:val="21"/>
                <w:szCs w:val="21"/>
              </w:rPr>
            </w:pPr>
            <w:r>
              <w:rPr>
                <w:sz w:val="21"/>
                <w:szCs w:val="21"/>
              </w:rPr>
              <w:t>毕业生就业竞争力弱，“高绩点、低就业”</w:t>
            </w:r>
          </w:p>
        </w:tc>
      </w:tr>
      <w:tr w14:paraId="48C4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left w:w="108" w:type="dxa"/>
              <w:right w:w="108" w:type="dxa"/>
            </w:tcMar>
            <w:vAlign w:val="center"/>
          </w:tcPr>
          <w:p w14:paraId="16B075B7">
            <w:pPr>
              <w:rPr>
                <w:sz w:val="21"/>
                <w:szCs w:val="21"/>
              </w:rPr>
            </w:pPr>
            <w:r>
              <w:rPr>
                <w:b/>
                <w:sz w:val="21"/>
                <w:szCs w:val="21"/>
              </w:rPr>
              <w:t>个体职业规划缺失</w:t>
            </w:r>
          </w:p>
        </w:tc>
        <w:tc>
          <w:tcPr>
            <w:tcW w:w="0" w:type="auto"/>
            <w:tcMar>
              <w:left w:w="108" w:type="dxa"/>
              <w:right w:w="108" w:type="dxa"/>
            </w:tcMar>
            <w:vAlign w:val="center"/>
          </w:tcPr>
          <w:p w14:paraId="29337C2A">
            <w:pPr>
              <w:rPr>
                <w:sz w:val="21"/>
                <w:szCs w:val="21"/>
              </w:rPr>
            </w:pPr>
            <w:r>
              <w:rPr>
                <w:sz w:val="21"/>
                <w:szCs w:val="21"/>
              </w:rPr>
              <w:t>目标模糊，盲目跟风考研考公，缺乏自我认知</w:t>
            </w:r>
          </w:p>
        </w:tc>
        <w:tc>
          <w:tcPr>
            <w:tcW w:w="0" w:type="auto"/>
            <w:tcMar>
              <w:left w:w="108" w:type="dxa"/>
              <w:right w:w="108" w:type="dxa"/>
            </w:tcMar>
            <w:vAlign w:val="center"/>
          </w:tcPr>
          <w:p w14:paraId="18F76849">
            <w:pPr>
              <w:rPr>
                <w:sz w:val="21"/>
                <w:szCs w:val="21"/>
              </w:rPr>
            </w:pPr>
            <w:r>
              <w:rPr>
                <w:sz w:val="21"/>
                <w:szCs w:val="21"/>
              </w:rPr>
              <w:t>求职行动盲目，简历与面试通过率低</w:t>
            </w:r>
            <w:bookmarkStart w:id="0" w:name="_GoBack"/>
            <w:bookmarkEnd w:id="0"/>
          </w:p>
        </w:tc>
      </w:tr>
      <w:tr w14:paraId="183AD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left w:w="108" w:type="dxa"/>
              <w:right w:w="108" w:type="dxa"/>
            </w:tcMar>
            <w:vAlign w:val="center"/>
          </w:tcPr>
          <w:p w14:paraId="205B352C">
            <w:pPr>
              <w:rPr>
                <w:sz w:val="21"/>
                <w:szCs w:val="21"/>
              </w:rPr>
            </w:pPr>
            <w:r>
              <w:rPr>
                <w:b/>
                <w:sz w:val="21"/>
                <w:szCs w:val="21"/>
              </w:rPr>
              <w:t>资源分配不均</w:t>
            </w:r>
          </w:p>
        </w:tc>
        <w:tc>
          <w:tcPr>
            <w:tcW w:w="0" w:type="auto"/>
            <w:tcMar>
              <w:left w:w="108" w:type="dxa"/>
              <w:right w:w="108" w:type="dxa"/>
            </w:tcMar>
            <w:vAlign w:val="center"/>
          </w:tcPr>
          <w:p w14:paraId="4CDABE79">
            <w:pPr>
              <w:rPr>
                <w:sz w:val="21"/>
                <w:szCs w:val="21"/>
              </w:rPr>
            </w:pPr>
            <w:r>
              <w:rPr>
                <w:sz w:val="21"/>
                <w:szCs w:val="21"/>
              </w:rPr>
              <w:t>地域、院校、专业及性别间的机会差异显著</w:t>
            </w:r>
          </w:p>
        </w:tc>
        <w:tc>
          <w:tcPr>
            <w:tcW w:w="0" w:type="auto"/>
            <w:tcMar>
              <w:left w:w="108" w:type="dxa"/>
              <w:right w:w="108" w:type="dxa"/>
            </w:tcMar>
            <w:vAlign w:val="center"/>
          </w:tcPr>
          <w:p w14:paraId="1BE0A3EC">
            <w:pPr>
              <w:rPr>
                <w:sz w:val="21"/>
                <w:szCs w:val="21"/>
              </w:rPr>
            </w:pPr>
            <w:r>
              <w:rPr>
                <w:sz w:val="21"/>
                <w:szCs w:val="21"/>
              </w:rPr>
              <w:t>就业机会不平等，人力资源错配与浪费</w:t>
            </w:r>
          </w:p>
        </w:tc>
      </w:tr>
    </w:tbl>
    <w:p w14:paraId="3CB10A85"/>
    <w:p w14:paraId="09AF38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首先，</w:t>
      </w:r>
      <w:r>
        <w:rPr>
          <w:rFonts w:hint="eastAsia" w:ascii="仿宋" w:hAnsi="仿宋" w:eastAsia="仿宋" w:cs="仿宋"/>
          <w:b/>
          <w:sz w:val="24"/>
          <w:szCs w:val="24"/>
        </w:rPr>
        <w:t>信息不对称</w:t>
      </w:r>
      <w:r>
        <w:rPr>
          <w:rFonts w:hint="eastAsia" w:ascii="仿宋" w:hAnsi="仿宋" w:eastAsia="仿宋" w:cs="仿宋"/>
          <w:sz w:val="24"/>
          <w:szCs w:val="24"/>
        </w:rPr>
        <w:t>构成了首要障碍。大量学生直至毕业才了解线上招聘渠道与应届生身份的有效期，这种信息盲区直接导致机会错失。地处非中心城市高校的学生，因获取一线市场信息的成本更高，处于更为不利的竞争地位。</w:t>
      </w:r>
    </w:p>
    <w:p w14:paraId="2299E4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其次，</w:t>
      </w:r>
      <w:r>
        <w:rPr>
          <w:rFonts w:hint="eastAsia" w:ascii="仿宋" w:hAnsi="仿宋" w:eastAsia="仿宋" w:cs="仿宋"/>
          <w:b/>
          <w:sz w:val="24"/>
          <w:szCs w:val="24"/>
        </w:rPr>
        <w:t>教育供给与市场需求的结构性错配</w:t>
      </w:r>
      <w:r>
        <w:rPr>
          <w:rFonts w:hint="eastAsia" w:ascii="仿宋" w:hAnsi="仿宋" w:eastAsia="仿宋" w:cs="仿宋"/>
          <w:sz w:val="24"/>
          <w:szCs w:val="24"/>
        </w:rPr>
        <w:t>是问题核心。许多高校专业设置与课程内容更新缓慢，而企业日益看重实践能力。相比之下，职业技术院校的“订单班”模式通过深度校企合作，实现了学习与就业的无缝衔接，这反衬出部分传统本科教育在应用型人才培养上的脱节。</w:t>
      </w:r>
    </w:p>
    <w:p w14:paraId="4376B4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再次，</w:t>
      </w:r>
      <w:r>
        <w:rPr>
          <w:rFonts w:hint="eastAsia" w:ascii="仿宋" w:hAnsi="仿宋" w:eastAsia="仿宋" w:cs="仿宋"/>
          <w:b/>
          <w:sz w:val="24"/>
          <w:szCs w:val="24"/>
        </w:rPr>
        <w:t>个体职业规划的系统性缺失</w:t>
      </w:r>
      <w:r>
        <w:rPr>
          <w:rFonts w:hint="eastAsia" w:ascii="仿宋" w:hAnsi="仿宋" w:eastAsia="仿宋" w:cs="仿宋"/>
          <w:sz w:val="24"/>
          <w:szCs w:val="24"/>
        </w:rPr>
        <w:t>加剧了就业困难。许多学生陷入被动与盲目状态，将大学学习等同于获取高绩点，缺乏对职业路径的早期探索与主动设计，导致在求职季仓促应对，难以展现个人优势。</w:t>
      </w:r>
    </w:p>
    <w:p w14:paraId="648C57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最后，</w:t>
      </w:r>
      <w:r>
        <w:rPr>
          <w:rFonts w:hint="eastAsia" w:ascii="仿宋" w:hAnsi="仿宋" w:eastAsia="仿宋" w:cs="仿宋"/>
          <w:b/>
          <w:sz w:val="24"/>
          <w:szCs w:val="24"/>
        </w:rPr>
        <w:t>就业市场资源的系统性不均</w:t>
      </w:r>
      <w:r>
        <w:rPr>
          <w:rFonts w:hint="eastAsia" w:ascii="仿宋" w:hAnsi="仿宋" w:eastAsia="仿宋" w:cs="仿宋"/>
          <w:sz w:val="24"/>
          <w:szCs w:val="24"/>
        </w:rPr>
        <w:t>深刻影响结果。笔者的亲身观察表明，疫情后部分优质企业在校招中的参与度下降，且资源明显向头部高校、优势专业倾斜，民办院校、文科专业及女性毕业生面临更严峻的挑战。</w:t>
      </w:r>
    </w:p>
    <w:p w14:paraId="55720B64">
      <w:pPr>
        <w:pStyle w:val="3"/>
      </w:pPr>
      <w:r>
        <w:rPr>
          <w:b/>
        </w:rPr>
        <w:t>3 研究方法：霍尔三维结构模式的理论框架与应用适配性</w:t>
      </w:r>
    </w:p>
    <w:p w14:paraId="2900CB36">
      <w:pPr>
        <w:pStyle w:val="4"/>
      </w:pPr>
      <w:r>
        <w:rPr>
          <w:b/>
        </w:rPr>
        <w:t>3.1 霍尔三维结构模式的理论内涵</w:t>
      </w:r>
    </w:p>
    <w:p w14:paraId="56EC40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霍尔三维结构模式是由美国系统工程专家A. D. Hall提出的经典方法论，旨在为复杂系统问题提供结构化解决方案。该模式构建了一个由时间维、逻辑维和知识维组成的三维分析框架（Hall, 1969）。其中，时间维描述系统工程活动从始至终的全过程阶段；逻辑维指每个阶段内应遵循的思维与工作步骤；知识维则涵盖了解决问题所需的各种学科知识与技术。</w:t>
      </w:r>
    </w:p>
    <w:p w14:paraId="2B5ABFD1">
      <w:pPr>
        <w:pStyle w:val="4"/>
      </w:pPr>
      <w:r>
        <w:rPr>
          <w:b/>
        </w:rPr>
        <w:t>3.2 在就业问题研究中的适配性分析</w:t>
      </w:r>
    </w:p>
    <w:p w14:paraId="2B351C4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大学生就业问题作为一个涉及多主体、多因素、多阶段的复杂社会系统，与霍尔方法论具有高度的内在适配性。</w:t>
      </w:r>
    </w:p>
    <w:p w14:paraId="6251F4D8">
      <w:pPr>
        <w:keepNext w:val="0"/>
        <w:keepLines w:val="0"/>
        <w:pageBreakBefore w:val="0"/>
        <w:widowControl w:val="0"/>
        <w:numPr>
          <w:ilvl w:val="0"/>
          <w:numId w:val="1"/>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整体性</w:t>
      </w:r>
      <w:r>
        <w:rPr>
          <w:rFonts w:hint="eastAsia" w:ascii="仿宋" w:hAnsi="仿宋" w:eastAsia="仿宋" w:cs="仿宋"/>
          <w:sz w:val="24"/>
          <w:szCs w:val="24"/>
        </w:rPr>
        <w:t>：该框架能将政府、高校、企业、学生等多元主体及其互动关系纳入统一系统进行分析。</w:t>
      </w:r>
    </w:p>
    <w:p w14:paraId="2935ECB0">
      <w:pPr>
        <w:keepNext w:val="0"/>
        <w:keepLines w:val="0"/>
        <w:pageBreakBefore w:val="0"/>
        <w:widowControl w:val="0"/>
        <w:numPr>
          <w:ilvl w:val="0"/>
          <w:numId w:val="1"/>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过程性</w:t>
      </w:r>
      <w:r>
        <w:rPr>
          <w:rFonts w:hint="eastAsia" w:ascii="仿宋" w:hAnsi="仿宋" w:eastAsia="仿宋" w:cs="仿宋"/>
          <w:sz w:val="24"/>
          <w:szCs w:val="24"/>
        </w:rPr>
        <w:t>：时间维的七个阶段可精准对应大学生从入学到职业发展的全周期。</w:t>
      </w:r>
    </w:p>
    <w:p w14:paraId="5435FE21">
      <w:pPr>
        <w:keepNext w:val="0"/>
        <w:keepLines w:val="0"/>
        <w:pageBreakBefore w:val="0"/>
        <w:widowControl w:val="0"/>
        <w:numPr>
          <w:ilvl w:val="0"/>
          <w:numId w:val="1"/>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科学性</w:t>
      </w:r>
      <w:r>
        <w:rPr>
          <w:rFonts w:hint="eastAsia" w:ascii="仿宋" w:hAnsi="仿宋" w:eastAsia="仿宋" w:cs="仿宋"/>
          <w:sz w:val="24"/>
          <w:szCs w:val="24"/>
        </w:rPr>
        <w:t>：逻辑维的七个步骤（明确问题、确定目标、系统综合、系统分析、优化、决策、实施）为分析和解决问题提供了科学的程序指引。</w:t>
      </w:r>
    </w:p>
    <w:p w14:paraId="10D6FD4F">
      <w:pPr>
        <w:keepNext w:val="0"/>
        <w:keepLines w:val="0"/>
        <w:pageBreakBefore w:val="0"/>
        <w:widowControl w:val="0"/>
        <w:numPr>
          <w:ilvl w:val="0"/>
          <w:numId w:val="1"/>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综合性</w:t>
      </w:r>
      <w:r>
        <w:rPr>
          <w:rFonts w:hint="eastAsia" w:ascii="仿宋" w:hAnsi="仿宋" w:eastAsia="仿宋" w:cs="仿宋"/>
          <w:sz w:val="24"/>
          <w:szCs w:val="24"/>
        </w:rPr>
        <w:t>：知识维天然要求融合教育学、经济学、管理学、社会学等多学科知识，契合就业问题的跨学科属性。</w:t>
      </w:r>
    </w:p>
    <w:p w14:paraId="2158FF7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因此，运用霍尔三维结构模式，能够超越对就业问题的零散化、经验化讨论，转向系统化、结构化的研究与治理。</w:t>
      </w:r>
    </w:p>
    <w:p w14:paraId="5002793C">
      <w:pPr>
        <w:pStyle w:val="3"/>
      </w:pPr>
      <w:r>
        <w:rPr>
          <w:b/>
        </w:rPr>
        <w:t>4 方法应用：基于霍尔三维模式的就业问题系统求解</w:t>
      </w:r>
    </w:p>
    <w:p w14:paraId="3009D70F">
      <w:pPr>
        <w:pStyle w:val="4"/>
      </w:pPr>
      <w:r>
        <w:rPr>
          <w:b/>
        </w:rPr>
        <w:t>4.1 时间维：构建全周期就业管理体系</w:t>
      </w:r>
    </w:p>
    <w:p w14:paraId="52E64E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将大学生就业置于时间维度考察，需建立贯穿大学全程的七个阶段管理体系（表2），实现就业指导从“毕业季应急”向“全过程赋能”的根本转变。</w:t>
      </w:r>
    </w:p>
    <w:p w14:paraId="57921992"/>
    <w:p w14:paraId="20CC68BC">
      <w:pPr>
        <w:rPr>
          <w:sz w:val="21"/>
          <w:szCs w:val="21"/>
        </w:rPr>
      </w:pPr>
      <w:r>
        <w:rPr>
          <w:b/>
          <w:sz w:val="21"/>
          <w:szCs w:val="21"/>
        </w:rPr>
        <w:t>表2 基于时间维的大学生就业促进体系</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0947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left w:w="108" w:type="dxa"/>
              <w:right w:w="108" w:type="dxa"/>
            </w:tcMar>
            <w:vAlign w:val="center"/>
          </w:tcPr>
          <w:p w14:paraId="23E891E6">
            <w:pPr>
              <w:jc w:val="center"/>
              <w:rPr>
                <w:b/>
                <w:sz w:val="21"/>
                <w:szCs w:val="21"/>
              </w:rPr>
            </w:pPr>
            <w:r>
              <w:rPr>
                <w:b/>
                <w:sz w:val="21"/>
                <w:szCs w:val="21"/>
              </w:rPr>
              <w:t>阶段</w:t>
            </w:r>
          </w:p>
        </w:tc>
        <w:tc>
          <w:tcPr>
            <w:tcW w:w="0" w:type="auto"/>
            <w:tcMar>
              <w:left w:w="108" w:type="dxa"/>
              <w:right w:w="108" w:type="dxa"/>
            </w:tcMar>
            <w:vAlign w:val="center"/>
          </w:tcPr>
          <w:p w14:paraId="12FDDE8E">
            <w:pPr>
              <w:jc w:val="center"/>
              <w:rPr>
                <w:b/>
                <w:sz w:val="21"/>
                <w:szCs w:val="21"/>
              </w:rPr>
            </w:pPr>
            <w:r>
              <w:rPr>
                <w:b/>
                <w:sz w:val="21"/>
                <w:szCs w:val="21"/>
              </w:rPr>
              <w:t>时间节点</w:t>
            </w:r>
          </w:p>
        </w:tc>
        <w:tc>
          <w:tcPr>
            <w:tcW w:w="0" w:type="auto"/>
            <w:tcMar>
              <w:left w:w="108" w:type="dxa"/>
              <w:right w:w="108" w:type="dxa"/>
            </w:tcMar>
            <w:vAlign w:val="center"/>
          </w:tcPr>
          <w:p w14:paraId="6C1110B6">
            <w:pPr>
              <w:jc w:val="center"/>
              <w:rPr>
                <w:b/>
                <w:sz w:val="21"/>
                <w:szCs w:val="21"/>
              </w:rPr>
            </w:pPr>
            <w:r>
              <w:rPr>
                <w:b/>
                <w:sz w:val="21"/>
                <w:szCs w:val="21"/>
              </w:rPr>
              <w:t>核心任务</w:t>
            </w:r>
          </w:p>
        </w:tc>
        <w:tc>
          <w:tcPr>
            <w:tcW w:w="0" w:type="auto"/>
            <w:tcMar>
              <w:left w:w="108" w:type="dxa"/>
              <w:right w:w="108" w:type="dxa"/>
            </w:tcMar>
            <w:vAlign w:val="center"/>
          </w:tcPr>
          <w:p w14:paraId="078CD897">
            <w:pPr>
              <w:jc w:val="center"/>
              <w:rPr>
                <w:b/>
                <w:sz w:val="21"/>
                <w:szCs w:val="21"/>
              </w:rPr>
            </w:pPr>
            <w:r>
              <w:rPr>
                <w:b/>
                <w:sz w:val="21"/>
                <w:szCs w:val="21"/>
              </w:rPr>
              <w:t>关键实施策略举例</w:t>
            </w:r>
          </w:p>
        </w:tc>
      </w:tr>
      <w:tr w14:paraId="12C48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left w:w="108" w:type="dxa"/>
              <w:right w:w="108" w:type="dxa"/>
            </w:tcMar>
            <w:vAlign w:val="center"/>
          </w:tcPr>
          <w:p w14:paraId="10317C2B">
            <w:pPr>
              <w:rPr>
                <w:sz w:val="21"/>
                <w:szCs w:val="21"/>
              </w:rPr>
            </w:pPr>
            <w:r>
              <w:rPr>
                <w:b/>
                <w:sz w:val="21"/>
                <w:szCs w:val="21"/>
              </w:rPr>
              <w:t>规划</w:t>
            </w:r>
          </w:p>
        </w:tc>
        <w:tc>
          <w:tcPr>
            <w:tcW w:w="0" w:type="auto"/>
            <w:tcMar>
              <w:left w:w="108" w:type="dxa"/>
              <w:right w:w="108" w:type="dxa"/>
            </w:tcMar>
            <w:vAlign w:val="center"/>
          </w:tcPr>
          <w:p w14:paraId="28015613">
            <w:pPr>
              <w:rPr>
                <w:sz w:val="21"/>
                <w:szCs w:val="21"/>
              </w:rPr>
            </w:pPr>
            <w:r>
              <w:rPr>
                <w:sz w:val="21"/>
                <w:szCs w:val="21"/>
              </w:rPr>
              <w:t>大一上</w:t>
            </w:r>
          </w:p>
        </w:tc>
        <w:tc>
          <w:tcPr>
            <w:tcW w:w="0" w:type="auto"/>
            <w:tcMar>
              <w:left w:w="108" w:type="dxa"/>
              <w:right w:w="108" w:type="dxa"/>
            </w:tcMar>
            <w:vAlign w:val="center"/>
          </w:tcPr>
          <w:p w14:paraId="3EB28A57">
            <w:pPr>
              <w:rPr>
                <w:sz w:val="21"/>
                <w:szCs w:val="21"/>
              </w:rPr>
            </w:pPr>
            <w:r>
              <w:rPr>
                <w:sz w:val="21"/>
                <w:szCs w:val="21"/>
              </w:rPr>
              <w:t>专业认知与自我探索</w:t>
            </w:r>
          </w:p>
        </w:tc>
        <w:tc>
          <w:tcPr>
            <w:tcW w:w="0" w:type="auto"/>
            <w:tcMar>
              <w:left w:w="108" w:type="dxa"/>
              <w:right w:w="108" w:type="dxa"/>
            </w:tcMar>
            <w:vAlign w:val="center"/>
          </w:tcPr>
          <w:p w14:paraId="731AF862">
            <w:pPr>
              <w:rPr>
                <w:sz w:val="21"/>
                <w:szCs w:val="21"/>
              </w:rPr>
            </w:pPr>
            <w:r>
              <w:rPr>
                <w:sz w:val="21"/>
                <w:szCs w:val="21"/>
              </w:rPr>
              <w:t>开展职业测评、行业初识讲座</w:t>
            </w:r>
          </w:p>
        </w:tc>
      </w:tr>
      <w:tr w14:paraId="0853B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left w:w="108" w:type="dxa"/>
              <w:right w:w="108" w:type="dxa"/>
            </w:tcMar>
            <w:vAlign w:val="center"/>
          </w:tcPr>
          <w:p w14:paraId="46435D87">
            <w:pPr>
              <w:rPr>
                <w:sz w:val="21"/>
                <w:szCs w:val="21"/>
              </w:rPr>
            </w:pPr>
            <w:r>
              <w:rPr>
                <w:b/>
                <w:sz w:val="21"/>
                <w:szCs w:val="21"/>
              </w:rPr>
              <w:t>拟定方案</w:t>
            </w:r>
          </w:p>
        </w:tc>
        <w:tc>
          <w:tcPr>
            <w:tcW w:w="0" w:type="auto"/>
            <w:tcMar>
              <w:left w:w="108" w:type="dxa"/>
              <w:right w:w="108" w:type="dxa"/>
            </w:tcMar>
            <w:vAlign w:val="center"/>
          </w:tcPr>
          <w:p w14:paraId="1CC1EF44">
            <w:pPr>
              <w:rPr>
                <w:sz w:val="21"/>
                <w:szCs w:val="21"/>
              </w:rPr>
            </w:pPr>
            <w:r>
              <w:rPr>
                <w:sz w:val="21"/>
                <w:szCs w:val="21"/>
              </w:rPr>
              <w:t>大一下</w:t>
            </w:r>
          </w:p>
        </w:tc>
        <w:tc>
          <w:tcPr>
            <w:tcW w:w="0" w:type="auto"/>
            <w:tcMar>
              <w:left w:w="108" w:type="dxa"/>
              <w:right w:w="108" w:type="dxa"/>
            </w:tcMar>
            <w:vAlign w:val="center"/>
          </w:tcPr>
          <w:p w14:paraId="6823B582">
            <w:pPr>
              <w:rPr>
                <w:sz w:val="21"/>
                <w:szCs w:val="21"/>
              </w:rPr>
            </w:pPr>
            <w:r>
              <w:rPr>
                <w:sz w:val="21"/>
                <w:szCs w:val="21"/>
              </w:rPr>
              <w:t>制定个人发展规划</w:t>
            </w:r>
          </w:p>
        </w:tc>
        <w:tc>
          <w:tcPr>
            <w:tcW w:w="0" w:type="auto"/>
            <w:tcMar>
              <w:left w:w="108" w:type="dxa"/>
              <w:right w:w="108" w:type="dxa"/>
            </w:tcMar>
            <w:vAlign w:val="center"/>
          </w:tcPr>
          <w:p w14:paraId="7F773CC6">
            <w:pPr>
              <w:rPr>
                <w:sz w:val="21"/>
                <w:szCs w:val="21"/>
              </w:rPr>
            </w:pPr>
            <w:r>
              <w:rPr>
                <w:sz w:val="21"/>
                <w:szCs w:val="21"/>
              </w:rPr>
              <w:t>指导设计涵盖课程、技能、实习的四年蓝图</w:t>
            </w:r>
          </w:p>
        </w:tc>
      </w:tr>
      <w:tr w14:paraId="536F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left w:w="108" w:type="dxa"/>
              <w:right w:w="108" w:type="dxa"/>
            </w:tcMar>
            <w:vAlign w:val="center"/>
          </w:tcPr>
          <w:p w14:paraId="7F8763DF">
            <w:pPr>
              <w:rPr>
                <w:sz w:val="21"/>
                <w:szCs w:val="21"/>
              </w:rPr>
            </w:pPr>
            <w:r>
              <w:rPr>
                <w:b/>
                <w:sz w:val="21"/>
                <w:szCs w:val="21"/>
              </w:rPr>
              <w:t>研制</w:t>
            </w:r>
          </w:p>
        </w:tc>
        <w:tc>
          <w:tcPr>
            <w:tcW w:w="0" w:type="auto"/>
            <w:tcMar>
              <w:left w:w="108" w:type="dxa"/>
              <w:right w:w="108" w:type="dxa"/>
            </w:tcMar>
            <w:vAlign w:val="center"/>
          </w:tcPr>
          <w:p w14:paraId="1D613EBC">
            <w:pPr>
              <w:rPr>
                <w:sz w:val="21"/>
                <w:szCs w:val="21"/>
              </w:rPr>
            </w:pPr>
            <w:r>
              <w:rPr>
                <w:sz w:val="21"/>
                <w:szCs w:val="21"/>
              </w:rPr>
              <w:t>大二</w:t>
            </w:r>
          </w:p>
        </w:tc>
        <w:tc>
          <w:tcPr>
            <w:tcW w:w="0" w:type="auto"/>
            <w:tcMar>
              <w:left w:w="108" w:type="dxa"/>
              <w:right w:w="108" w:type="dxa"/>
            </w:tcMar>
            <w:vAlign w:val="center"/>
          </w:tcPr>
          <w:p w14:paraId="4F954F0D">
            <w:pPr>
              <w:rPr>
                <w:sz w:val="21"/>
                <w:szCs w:val="21"/>
              </w:rPr>
            </w:pPr>
            <w:r>
              <w:rPr>
                <w:sz w:val="21"/>
                <w:szCs w:val="21"/>
              </w:rPr>
              <w:t>核心能力构建</w:t>
            </w:r>
          </w:p>
        </w:tc>
        <w:tc>
          <w:tcPr>
            <w:tcW w:w="0" w:type="auto"/>
            <w:tcMar>
              <w:left w:w="108" w:type="dxa"/>
              <w:right w:w="108" w:type="dxa"/>
            </w:tcMar>
            <w:vAlign w:val="center"/>
          </w:tcPr>
          <w:p w14:paraId="7C22FF5B">
            <w:pPr>
              <w:rPr>
                <w:sz w:val="21"/>
                <w:szCs w:val="21"/>
              </w:rPr>
            </w:pPr>
            <w:r>
              <w:rPr>
                <w:sz w:val="21"/>
                <w:szCs w:val="21"/>
              </w:rPr>
              <w:t>通过项目学习、竞赛、社团活动培养通用技能</w:t>
            </w:r>
          </w:p>
        </w:tc>
      </w:tr>
      <w:tr w14:paraId="6851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left w:w="108" w:type="dxa"/>
              <w:right w:w="108" w:type="dxa"/>
            </w:tcMar>
            <w:vAlign w:val="center"/>
          </w:tcPr>
          <w:p w14:paraId="7F1338EC">
            <w:pPr>
              <w:rPr>
                <w:sz w:val="21"/>
                <w:szCs w:val="21"/>
              </w:rPr>
            </w:pPr>
            <w:r>
              <w:rPr>
                <w:b/>
                <w:sz w:val="21"/>
                <w:szCs w:val="21"/>
              </w:rPr>
              <w:t>生产</w:t>
            </w:r>
          </w:p>
        </w:tc>
        <w:tc>
          <w:tcPr>
            <w:tcW w:w="0" w:type="auto"/>
            <w:tcMar>
              <w:left w:w="108" w:type="dxa"/>
              <w:right w:w="108" w:type="dxa"/>
            </w:tcMar>
            <w:vAlign w:val="center"/>
          </w:tcPr>
          <w:p w14:paraId="3DD84FF8">
            <w:pPr>
              <w:rPr>
                <w:sz w:val="21"/>
                <w:szCs w:val="21"/>
              </w:rPr>
            </w:pPr>
            <w:r>
              <w:rPr>
                <w:sz w:val="21"/>
                <w:szCs w:val="21"/>
              </w:rPr>
              <w:t>大三</w:t>
            </w:r>
          </w:p>
        </w:tc>
        <w:tc>
          <w:tcPr>
            <w:tcW w:w="0" w:type="auto"/>
            <w:tcMar>
              <w:left w:w="108" w:type="dxa"/>
              <w:right w:w="108" w:type="dxa"/>
            </w:tcMar>
            <w:vAlign w:val="center"/>
          </w:tcPr>
          <w:p w14:paraId="59102E42">
            <w:pPr>
              <w:rPr>
                <w:sz w:val="21"/>
                <w:szCs w:val="21"/>
              </w:rPr>
            </w:pPr>
            <w:r>
              <w:rPr>
                <w:sz w:val="21"/>
                <w:szCs w:val="21"/>
              </w:rPr>
              <w:t>专业实践与就业准备</w:t>
            </w:r>
          </w:p>
        </w:tc>
        <w:tc>
          <w:tcPr>
            <w:tcW w:w="0" w:type="auto"/>
            <w:tcMar>
              <w:left w:w="108" w:type="dxa"/>
              <w:right w:w="108" w:type="dxa"/>
            </w:tcMar>
            <w:vAlign w:val="center"/>
          </w:tcPr>
          <w:p w14:paraId="18BB5EDE">
            <w:pPr>
              <w:rPr>
                <w:sz w:val="21"/>
                <w:szCs w:val="21"/>
              </w:rPr>
            </w:pPr>
            <w:r>
              <w:rPr>
                <w:sz w:val="21"/>
                <w:szCs w:val="21"/>
              </w:rPr>
              <w:t>推进校企合作实习，启动求职技能培训</w:t>
            </w:r>
          </w:p>
        </w:tc>
      </w:tr>
      <w:tr w14:paraId="7839B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left w:w="108" w:type="dxa"/>
              <w:right w:w="108" w:type="dxa"/>
            </w:tcMar>
            <w:vAlign w:val="center"/>
          </w:tcPr>
          <w:p w14:paraId="436FC381">
            <w:pPr>
              <w:rPr>
                <w:sz w:val="21"/>
                <w:szCs w:val="21"/>
              </w:rPr>
            </w:pPr>
            <w:r>
              <w:rPr>
                <w:b/>
                <w:sz w:val="21"/>
                <w:szCs w:val="21"/>
              </w:rPr>
              <w:t>安装</w:t>
            </w:r>
          </w:p>
        </w:tc>
        <w:tc>
          <w:tcPr>
            <w:tcW w:w="0" w:type="auto"/>
            <w:tcMar>
              <w:left w:w="108" w:type="dxa"/>
              <w:right w:w="108" w:type="dxa"/>
            </w:tcMar>
            <w:vAlign w:val="center"/>
          </w:tcPr>
          <w:p w14:paraId="32B987B3">
            <w:pPr>
              <w:rPr>
                <w:sz w:val="21"/>
                <w:szCs w:val="21"/>
              </w:rPr>
            </w:pPr>
            <w:r>
              <w:rPr>
                <w:sz w:val="21"/>
                <w:szCs w:val="21"/>
              </w:rPr>
              <w:t>大四上</w:t>
            </w:r>
          </w:p>
        </w:tc>
        <w:tc>
          <w:tcPr>
            <w:tcW w:w="0" w:type="auto"/>
            <w:tcMar>
              <w:left w:w="108" w:type="dxa"/>
              <w:right w:w="108" w:type="dxa"/>
            </w:tcMar>
            <w:vAlign w:val="center"/>
          </w:tcPr>
          <w:p w14:paraId="71B99195">
            <w:pPr>
              <w:rPr>
                <w:sz w:val="21"/>
                <w:szCs w:val="21"/>
              </w:rPr>
            </w:pPr>
            <w:r>
              <w:rPr>
                <w:sz w:val="21"/>
                <w:szCs w:val="21"/>
              </w:rPr>
              <w:t>求职行动实施</w:t>
            </w:r>
          </w:p>
        </w:tc>
        <w:tc>
          <w:tcPr>
            <w:tcW w:w="0" w:type="auto"/>
            <w:tcMar>
              <w:left w:w="108" w:type="dxa"/>
              <w:right w:w="108" w:type="dxa"/>
            </w:tcMar>
            <w:vAlign w:val="center"/>
          </w:tcPr>
          <w:p w14:paraId="5829C646">
            <w:pPr>
              <w:rPr>
                <w:sz w:val="21"/>
                <w:szCs w:val="21"/>
              </w:rPr>
            </w:pPr>
            <w:r>
              <w:rPr>
                <w:sz w:val="21"/>
                <w:szCs w:val="21"/>
              </w:rPr>
              <w:t>组织招聘活动，提供个性化求职咨询</w:t>
            </w:r>
          </w:p>
        </w:tc>
      </w:tr>
      <w:tr w14:paraId="04717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left w:w="108" w:type="dxa"/>
              <w:right w:w="108" w:type="dxa"/>
            </w:tcMar>
            <w:vAlign w:val="center"/>
          </w:tcPr>
          <w:p w14:paraId="0D25AC64">
            <w:pPr>
              <w:rPr>
                <w:sz w:val="21"/>
                <w:szCs w:val="21"/>
              </w:rPr>
            </w:pPr>
            <w:r>
              <w:rPr>
                <w:b/>
                <w:sz w:val="21"/>
                <w:szCs w:val="21"/>
              </w:rPr>
              <w:t>运行</w:t>
            </w:r>
          </w:p>
        </w:tc>
        <w:tc>
          <w:tcPr>
            <w:tcW w:w="0" w:type="auto"/>
            <w:tcMar>
              <w:left w:w="108" w:type="dxa"/>
              <w:right w:w="108" w:type="dxa"/>
            </w:tcMar>
            <w:vAlign w:val="center"/>
          </w:tcPr>
          <w:p w14:paraId="0E0ED683">
            <w:pPr>
              <w:rPr>
                <w:sz w:val="21"/>
                <w:szCs w:val="21"/>
              </w:rPr>
            </w:pPr>
            <w:r>
              <w:rPr>
                <w:sz w:val="21"/>
                <w:szCs w:val="21"/>
              </w:rPr>
              <w:t>大四下</w:t>
            </w:r>
          </w:p>
        </w:tc>
        <w:tc>
          <w:tcPr>
            <w:tcW w:w="0" w:type="auto"/>
            <w:tcMar>
              <w:left w:w="108" w:type="dxa"/>
              <w:right w:w="108" w:type="dxa"/>
            </w:tcMar>
            <w:vAlign w:val="center"/>
          </w:tcPr>
          <w:p w14:paraId="153F4BD5">
            <w:pPr>
              <w:rPr>
                <w:sz w:val="21"/>
                <w:szCs w:val="21"/>
              </w:rPr>
            </w:pPr>
            <w:r>
              <w:rPr>
                <w:sz w:val="21"/>
                <w:szCs w:val="21"/>
              </w:rPr>
              <w:t>职业适应与过渡</w:t>
            </w:r>
          </w:p>
        </w:tc>
        <w:tc>
          <w:tcPr>
            <w:tcW w:w="0" w:type="auto"/>
            <w:tcMar>
              <w:left w:w="108" w:type="dxa"/>
              <w:right w:w="108" w:type="dxa"/>
            </w:tcMar>
            <w:vAlign w:val="center"/>
          </w:tcPr>
          <w:p w14:paraId="4E8B82CC">
            <w:pPr>
              <w:rPr>
                <w:sz w:val="21"/>
                <w:szCs w:val="21"/>
              </w:rPr>
            </w:pPr>
            <w:r>
              <w:rPr>
                <w:sz w:val="21"/>
                <w:szCs w:val="21"/>
              </w:rPr>
              <w:t>开展入职前培训，关注实习转正</w:t>
            </w:r>
          </w:p>
        </w:tc>
      </w:tr>
      <w:tr w14:paraId="3E90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left w:w="108" w:type="dxa"/>
              <w:right w:w="108" w:type="dxa"/>
            </w:tcMar>
            <w:vAlign w:val="center"/>
          </w:tcPr>
          <w:p w14:paraId="7A5977A5">
            <w:pPr>
              <w:rPr>
                <w:sz w:val="21"/>
                <w:szCs w:val="21"/>
              </w:rPr>
            </w:pPr>
            <w:r>
              <w:rPr>
                <w:b/>
                <w:sz w:val="21"/>
                <w:szCs w:val="21"/>
              </w:rPr>
              <w:t>更新</w:t>
            </w:r>
          </w:p>
        </w:tc>
        <w:tc>
          <w:tcPr>
            <w:tcW w:w="0" w:type="auto"/>
            <w:tcMar>
              <w:left w:w="108" w:type="dxa"/>
              <w:right w:w="108" w:type="dxa"/>
            </w:tcMar>
            <w:vAlign w:val="center"/>
          </w:tcPr>
          <w:p w14:paraId="10C8E1C0">
            <w:pPr>
              <w:rPr>
                <w:sz w:val="21"/>
                <w:szCs w:val="21"/>
              </w:rPr>
            </w:pPr>
            <w:r>
              <w:rPr>
                <w:sz w:val="21"/>
                <w:szCs w:val="21"/>
              </w:rPr>
              <w:t>毕业后</w:t>
            </w:r>
          </w:p>
        </w:tc>
        <w:tc>
          <w:tcPr>
            <w:tcW w:w="0" w:type="auto"/>
            <w:tcMar>
              <w:left w:w="108" w:type="dxa"/>
              <w:right w:w="108" w:type="dxa"/>
            </w:tcMar>
            <w:vAlign w:val="center"/>
          </w:tcPr>
          <w:p w14:paraId="370C622F">
            <w:pPr>
              <w:rPr>
                <w:sz w:val="21"/>
                <w:szCs w:val="21"/>
              </w:rPr>
            </w:pPr>
            <w:r>
              <w:rPr>
                <w:sz w:val="21"/>
                <w:szCs w:val="21"/>
              </w:rPr>
              <w:t>持续发展与反馈</w:t>
            </w:r>
          </w:p>
        </w:tc>
        <w:tc>
          <w:tcPr>
            <w:tcW w:w="0" w:type="auto"/>
            <w:tcMar>
              <w:left w:w="108" w:type="dxa"/>
              <w:right w:w="108" w:type="dxa"/>
            </w:tcMar>
            <w:vAlign w:val="center"/>
          </w:tcPr>
          <w:p w14:paraId="425F0E6D">
            <w:pPr>
              <w:rPr>
                <w:sz w:val="21"/>
                <w:szCs w:val="21"/>
              </w:rPr>
            </w:pPr>
            <w:r>
              <w:rPr>
                <w:sz w:val="21"/>
                <w:szCs w:val="21"/>
              </w:rPr>
              <w:t>建立校友网络，追踪职业发展，反馈培养方案</w:t>
            </w:r>
          </w:p>
        </w:tc>
      </w:tr>
    </w:tbl>
    <w:p w14:paraId="5D458BC7">
      <w:pPr>
        <w:pStyle w:val="4"/>
      </w:pPr>
      <w:r>
        <w:rPr>
          <w:b/>
        </w:rPr>
        <w:t>4.2 逻辑维：遵循科学步骤的思维流程</w:t>
      </w:r>
    </w:p>
    <w:p w14:paraId="7453D11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解决就业问题需遵循逻辑维的严密步骤：</w:t>
      </w:r>
    </w:p>
    <w:p w14:paraId="095C16E7">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明确问题</w:t>
      </w:r>
      <w:r>
        <w:rPr>
          <w:rFonts w:hint="eastAsia" w:ascii="仿宋" w:hAnsi="仿宋" w:eastAsia="仿宋" w:cs="仿宋"/>
          <w:sz w:val="24"/>
          <w:szCs w:val="24"/>
        </w:rPr>
        <w:t>：运用KJ法等，系统识别信息差、错配、规划缺失、资源不均等子问题。</w:t>
      </w:r>
    </w:p>
    <w:p w14:paraId="37D44860">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建立价值体系（确定目标）</w:t>
      </w:r>
      <w:r>
        <w:rPr>
          <w:rFonts w:hint="eastAsia" w:ascii="仿宋" w:hAnsi="仿宋" w:eastAsia="仿宋" w:cs="仿宋"/>
          <w:sz w:val="24"/>
          <w:szCs w:val="24"/>
        </w:rPr>
        <w:t>：构建包含薪酬、匹配度、发展空间等多属性的就业质量评价指标体系。</w:t>
      </w:r>
    </w:p>
    <w:p w14:paraId="09EA251B">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系统综合</w:t>
      </w:r>
      <w:r>
        <w:rPr>
          <w:rFonts w:hint="eastAsia" w:ascii="仿宋" w:hAnsi="仿宋" w:eastAsia="仿宋" w:cs="仿宋"/>
          <w:sz w:val="24"/>
          <w:szCs w:val="24"/>
        </w:rPr>
        <w:t>：设计多种解决方案，如创新校企合作模式、开发职业规划课程矩阵、构建智能就业信息平台。</w:t>
      </w:r>
    </w:p>
    <w:p w14:paraId="755AE37D">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系统分析</w:t>
      </w:r>
      <w:r>
        <w:rPr>
          <w:rFonts w:hint="eastAsia" w:ascii="仿宋" w:hAnsi="仿宋" w:eastAsia="仿宋" w:cs="仿宋"/>
          <w:sz w:val="24"/>
          <w:szCs w:val="24"/>
        </w:rPr>
        <w:t>：建立模型分析各方案，运用因子分析识别关键变量，或利用系统动力学进行政策仿真。</w:t>
      </w:r>
    </w:p>
    <w:p w14:paraId="0C817AB6">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系统优化</w:t>
      </w:r>
      <w:r>
        <w:rPr>
          <w:rFonts w:hint="eastAsia" w:ascii="仿宋" w:hAnsi="仿宋" w:eastAsia="仿宋" w:cs="仿宋"/>
          <w:sz w:val="24"/>
          <w:szCs w:val="24"/>
        </w:rPr>
        <w:t>：采用多目标优化方法，权衡短期就业率与长期发展、资源投入与产出效益等目标。</w:t>
      </w:r>
    </w:p>
    <w:p w14:paraId="2D02047E">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决策</w:t>
      </w:r>
      <w:r>
        <w:rPr>
          <w:rFonts w:hint="eastAsia" w:ascii="仿宋" w:hAnsi="仿宋" w:eastAsia="仿宋" w:cs="仿宋"/>
          <w:sz w:val="24"/>
          <w:szCs w:val="24"/>
        </w:rPr>
        <w:t>：结合客观数据与各方偏好，借助群决策方法选择最优或最满意的方案组合。</w:t>
      </w:r>
    </w:p>
    <w:p w14:paraId="6BDD75F6">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实施计划</w:t>
      </w:r>
      <w:r>
        <w:rPr>
          <w:rFonts w:hint="eastAsia" w:ascii="仿宋" w:hAnsi="仿宋" w:eastAsia="仿宋" w:cs="仿宋"/>
          <w:sz w:val="24"/>
          <w:szCs w:val="24"/>
        </w:rPr>
        <w:t>：运用计划评审技术（PERT）制定详细的行动方案，确保责任到人、资源到位。</w:t>
      </w:r>
    </w:p>
    <w:p w14:paraId="3745FB75">
      <w:pPr>
        <w:pStyle w:val="4"/>
      </w:pPr>
      <w:r>
        <w:rPr>
          <w:b/>
        </w:rPr>
        <w:t>4.3 知识维：整合多学科的知识与工具</w:t>
      </w:r>
    </w:p>
    <w:p w14:paraId="1113B15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有效解决方案必须集成多学科智慧：</w:t>
      </w:r>
    </w:p>
    <w:p w14:paraId="0F14AB6F">
      <w:pPr>
        <w:keepNext w:val="0"/>
        <w:keepLines w:val="0"/>
        <w:pageBreakBefore w:val="0"/>
        <w:widowControl w:val="0"/>
        <w:numPr>
          <w:ilvl w:val="0"/>
          <w:numId w:val="3"/>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教育学与教育技术</w:t>
      </w:r>
      <w:r>
        <w:rPr>
          <w:rFonts w:hint="eastAsia" w:ascii="仿宋" w:hAnsi="仿宋" w:eastAsia="仿宋" w:cs="仿宋"/>
          <w:sz w:val="24"/>
          <w:szCs w:val="24"/>
        </w:rPr>
        <w:t>：指导设计循序渐进的职业规划课程与实践活动。</w:t>
      </w:r>
    </w:p>
    <w:p w14:paraId="03754D72">
      <w:pPr>
        <w:keepNext w:val="0"/>
        <w:keepLines w:val="0"/>
        <w:pageBreakBefore w:val="0"/>
        <w:widowControl w:val="0"/>
        <w:numPr>
          <w:ilvl w:val="0"/>
          <w:numId w:val="3"/>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经济学与劳动市场理论</w:t>
      </w:r>
      <w:r>
        <w:rPr>
          <w:rFonts w:hint="eastAsia" w:ascii="仿宋" w:hAnsi="仿宋" w:eastAsia="仿宋" w:cs="仿宋"/>
          <w:sz w:val="24"/>
          <w:szCs w:val="24"/>
        </w:rPr>
        <w:t>：用于分析劳动力市场供需机制，评估政策效应。</w:t>
      </w:r>
    </w:p>
    <w:p w14:paraId="672337E3">
      <w:pPr>
        <w:keepNext w:val="0"/>
        <w:keepLines w:val="0"/>
        <w:pageBreakBefore w:val="0"/>
        <w:widowControl w:val="0"/>
        <w:numPr>
          <w:ilvl w:val="0"/>
          <w:numId w:val="3"/>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管理学与组织行为学</w:t>
      </w:r>
      <w:r>
        <w:rPr>
          <w:rFonts w:hint="eastAsia" w:ascii="仿宋" w:hAnsi="仿宋" w:eastAsia="仿宋" w:cs="仿宋"/>
          <w:sz w:val="24"/>
          <w:szCs w:val="24"/>
        </w:rPr>
        <w:t>：指导校企合作的机制设计与实施，理解企业选人用人逻辑。</w:t>
      </w:r>
    </w:p>
    <w:p w14:paraId="3654521B">
      <w:pPr>
        <w:keepNext w:val="0"/>
        <w:keepLines w:val="0"/>
        <w:pageBreakBefore w:val="0"/>
        <w:widowControl w:val="0"/>
        <w:numPr>
          <w:ilvl w:val="0"/>
          <w:numId w:val="3"/>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社会学</w:t>
      </w:r>
      <w:r>
        <w:rPr>
          <w:rFonts w:hint="eastAsia" w:ascii="仿宋" w:hAnsi="仿宋" w:eastAsia="仿宋" w:cs="仿宋"/>
          <w:sz w:val="24"/>
          <w:szCs w:val="24"/>
        </w:rPr>
        <w:t>：关注社会资本、网络对就业的影响，为弱势学生群体支持体系提供理论支撑。</w:t>
      </w:r>
    </w:p>
    <w:p w14:paraId="76135126">
      <w:pPr>
        <w:keepNext w:val="0"/>
        <w:keepLines w:val="0"/>
        <w:pageBreakBefore w:val="0"/>
        <w:widowControl w:val="0"/>
        <w:numPr>
          <w:ilvl w:val="0"/>
          <w:numId w:val="3"/>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心理学</w:t>
      </w:r>
      <w:r>
        <w:rPr>
          <w:rFonts w:hint="eastAsia" w:ascii="仿宋" w:hAnsi="仿宋" w:eastAsia="仿宋" w:cs="仿宋"/>
          <w:sz w:val="24"/>
          <w:szCs w:val="24"/>
        </w:rPr>
        <w:t>：提供职业测评、咨询辅导的工具与方法，帮助学生进行自我探索与决策。</w:t>
      </w:r>
    </w:p>
    <w:p w14:paraId="76C5AB8F">
      <w:pPr>
        <w:keepNext w:val="0"/>
        <w:keepLines w:val="0"/>
        <w:pageBreakBefore w:val="0"/>
        <w:widowControl w:val="0"/>
        <w:numPr>
          <w:ilvl w:val="0"/>
          <w:numId w:val="3"/>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信息技术与数据科学</w:t>
      </w:r>
      <w:r>
        <w:rPr>
          <w:rFonts w:hint="eastAsia" w:ascii="仿宋" w:hAnsi="仿宋" w:eastAsia="仿宋" w:cs="仿宋"/>
          <w:sz w:val="24"/>
          <w:szCs w:val="24"/>
        </w:rPr>
        <w:t>：用于建设智能化就业服务平台，实现精准信息推送与人岗匹配。</w:t>
      </w:r>
    </w:p>
    <w:p w14:paraId="6F1C0075">
      <w:pPr>
        <w:pStyle w:val="3"/>
      </w:pPr>
      <w:r>
        <w:rPr>
          <w:b/>
        </w:rPr>
        <w:t>5 研究结论与建议</w:t>
      </w:r>
    </w:p>
    <w:p w14:paraId="2E8EEDB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本研究基于霍尔三维结构模式系统剖析了大学生就业难问题，论证了其作为一个复杂系统问题的本质。研究结论表明，孤立的、局部的改进措施效果有限，必须采用</w:t>
      </w:r>
      <w:r>
        <w:rPr>
          <w:rFonts w:hint="eastAsia" w:ascii="仿宋" w:hAnsi="仿宋" w:eastAsia="仿宋" w:cs="仿宋"/>
          <w:b/>
          <w:sz w:val="24"/>
          <w:szCs w:val="24"/>
        </w:rPr>
        <w:t>系统化、全过程、多学科整合</w:t>
      </w:r>
      <w:r>
        <w:rPr>
          <w:rFonts w:hint="eastAsia" w:ascii="仿宋" w:hAnsi="仿宋" w:eastAsia="仿宋" w:cs="仿宋"/>
          <w:sz w:val="24"/>
          <w:szCs w:val="24"/>
        </w:rPr>
        <w:t>的治理路径。</w:t>
      </w:r>
    </w:p>
    <w:p w14:paraId="229A7F16">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ascii="仿宋" w:hAnsi="仿宋" w:eastAsia="仿宋" w:cs="仿宋"/>
          <w:sz w:val="24"/>
          <w:szCs w:val="24"/>
        </w:rPr>
      </w:pPr>
      <w:r>
        <w:rPr>
          <w:rFonts w:hint="eastAsia" w:ascii="仿宋" w:hAnsi="仿宋" w:eastAsia="仿宋" w:cs="仿宋"/>
          <w:sz w:val="24"/>
          <w:szCs w:val="24"/>
        </w:rPr>
        <w:t>据此，提出以下建议：</w:t>
      </w:r>
    </w:p>
    <w:p w14:paraId="0A9953BF">
      <w:pPr>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强化顶层设计，推动体系化建设</w:t>
      </w:r>
      <w:r>
        <w:rPr>
          <w:rFonts w:hint="eastAsia" w:ascii="仿宋" w:hAnsi="仿宋" w:eastAsia="仿宋" w:cs="仿宋"/>
          <w:sz w:val="24"/>
          <w:szCs w:val="24"/>
        </w:rPr>
        <w:t>：教育主管部门应引导高校将霍尔三维结构的系统思维融入就业工作顶层设计，建立从入学到毕业乃至毕业后的全过程、标准化就业服务体系，并配套相应的考核与资源保障机制。</w:t>
      </w:r>
    </w:p>
    <w:p w14:paraId="3C964035">
      <w:pPr>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促进资源共享，缩小机会差距</w:t>
      </w:r>
      <w:r>
        <w:rPr>
          <w:rFonts w:hint="eastAsia" w:ascii="仿宋" w:hAnsi="仿宋" w:eastAsia="仿宋" w:cs="仿宋"/>
          <w:sz w:val="24"/>
          <w:szCs w:val="24"/>
        </w:rPr>
        <w:t>：倡导建立区域性、行业性高校就业联盟，通过共享企业资源、招聘信息与指导课程，削弱因地域、学校层次造成的信息与机会壁垒，特别加大对非中心城市院校、民办院校的支持力度。</w:t>
      </w:r>
    </w:p>
    <w:p w14:paraId="5AD63A3F">
      <w:pPr>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深化校企合作，创新协同育人模式</w:t>
      </w:r>
      <w:r>
        <w:rPr>
          <w:rFonts w:hint="eastAsia" w:ascii="仿宋" w:hAnsi="仿宋" w:eastAsia="仿宋" w:cs="仿宋"/>
          <w:sz w:val="24"/>
          <w:szCs w:val="24"/>
        </w:rPr>
        <w:t>：超越“挂牌”式合作，鼓励高校与企业共同设计“订单班”、现代学徒制等项目，将企业课程、实习实训深度嵌入培养方案，让产业需求真正引导人才培养过程。</w:t>
      </w:r>
    </w:p>
    <w:p w14:paraId="5FC9D326">
      <w:pPr>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0" w:afterAutospacing="0" w:line="360" w:lineRule="auto"/>
        <w:ind w:left="720" w:hanging="360"/>
        <w:textAlignment w:val="auto"/>
        <w:rPr>
          <w:rFonts w:hint="eastAsia" w:ascii="仿宋" w:hAnsi="仿宋" w:eastAsia="仿宋" w:cs="仿宋"/>
          <w:sz w:val="24"/>
          <w:szCs w:val="24"/>
        </w:rPr>
      </w:pPr>
      <w:r>
        <w:rPr>
          <w:rFonts w:hint="eastAsia" w:ascii="仿宋" w:hAnsi="仿宋" w:eastAsia="仿宋" w:cs="仿宋"/>
          <w:b/>
          <w:sz w:val="24"/>
          <w:szCs w:val="24"/>
        </w:rPr>
        <w:t>创新指导方式，提升规划教育实效</w:t>
      </w:r>
      <w:r>
        <w:rPr>
          <w:rFonts w:hint="eastAsia" w:ascii="仿宋" w:hAnsi="仿宋" w:eastAsia="仿宋" w:cs="仿宋"/>
          <w:sz w:val="24"/>
          <w:szCs w:val="24"/>
        </w:rPr>
        <w:t>：将职业规划教育从单一课程升级为“理论教学+工作坊+个体咨询+实习实践”的混合式培养模式。积极引入行业导师、校友资源，通过真实案例与经验分享，帮助学生早定位、早准备。</w:t>
      </w:r>
    </w:p>
    <w:p w14:paraId="37471D5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未来的研究可进一步探索在不同类型高校中应用该模型的具体路径，并利用大数据追踪各项干预措施的长期效果，从而实现就业促进体系的动态优化与持续改进。</w:t>
      </w:r>
    </w:p>
    <w:p w14:paraId="0E116C90">
      <w:pPr>
        <w:rPr>
          <w:rFonts w:hint="eastAsia" w:ascii="仿宋" w:hAnsi="仿宋" w:eastAsia="仿宋" w:cs="仿宋"/>
          <w:sz w:val="24"/>
          <w:szCs w:val="24"/>
        </w:rPr>
      </w:pPr>
      <w:r>
        <w:rPr>
          <w:rFonts w:hint="eastAsia" w:ascii="仿宋" w:hAnsi="仿宋" w:eastAsia="仿宋" w:cs="仿宋"/>
          <w:sz w:val="24"/>
          <w:szCs w:val="24"/>
        </w:rPr>
        <w:br w:type="page"/>
      </w:r>
    </w:p>
    <w:p w14:paraId="65FACE10">
      <w:pPr>
        <w:pStyle w:val="3"/>
      </w:pPr>
      <w:r>
        <w:rPr>
          <w:b/>
        </w:rPr>
        <w:t>参考文献</w:t>
      </w:r>
    </w:p>
    <w:p w14:paraId="73818F9A">
      <w:pPr>
        <w:pStyle w:val="4"/>
        <w:numPr>
          <w:ilvl w:val="0"/>
          <w:numId w:val="5"/>
        </w:numPr>
        <w:rPr>
          <w:b/>
        </w:rPr>
      </w:pPr>
      <w:r>
        <w:rPr>
          <w:b/>
        </w:rPr>
        <w:t>大学生就业问题研究</w:t>
      </w:r>
    </w:p>
    <w:p w14:paraId="3F0FE3C0">
      <w:pPr>
        <w:numPr>
          <w:numId w:val="0"/>
        </w:numPr>
        <w:rPr>
          <w:rFonts w:hint="eastAsia"/>
        </w:rPr>
      </w:pPr>
      <w:r>
        <w:rPr>
          <w:rFonts w:hint="eastAsia"/>
        </w:rPr>
        <w:t>[1]王文涛,经士锐,杨志华,等. 基于供需关系视角下“慢就业”大学生的失配类型研究[J].现代商贸工业,2025,(24):155-158.DOI:10.19311/j.cnki.1672-3198.2025.24.045.</w:t>
      </w:r>
    </w:p>
    <w:p w14:paraId="099F92C6">
      <w:pPr>
        <w:numPr>
          <w:numId w:val="0"/>
        </w:numPr>
        <w:rPr>
          <w:rFonts w:hint="eastAsia"/>
        </w:rPr>
      </w:pPr>
      <w:r>
        <w:rPr>
          <w:rFonts w:hint="eastAsia"/>
        </w:rPr>
        <w:t>[2]李佳锶,田艳平. 机会公平的杠杆效应：社会阶层跃迁能提升女性就业质量吗[J].山西财经大学学报,2025,47(11):15-26.DOI:10.13781/j.cnki.1007-9556.2025.11.002.</w:t>
      </w:r>
    </w:p>
    <w:p w14:paraId="77CE76C9">
      <w:pPr>
        <w:numPr>
          <w:numId w:val="0"/>
        </w:numPr>
        <w:rPr>
          <w:rFonts w:hint="eastAsia"/>
        </w:rPr>
      </w:pPr>
      <w:r>
        <w:rPr>
          <w:rFonts w:hint="eastAsia"/>
        </w:rPr>
        <w:t>[3]朱金生,吴越,石智雷. 数字经济能否助力女性高质量就业?[J/OL].软科学,1-14[2025-12-04].https://link.cnki.net/urlid/51.1268.G3.20251103.1145.006.</w:t>
      </w:r>
    </w:p>
    <w:p w14:paraId="6E274097">
      <w:pPr>
        <w:numPr>
          <w:numId w:val="0"/>
        </w:numPr>
        <w:rPr>
          <w:rFonts w:hint="eastAsia"/>
        </w:rPr>
      </w:pPr>
      <w:r>
        <w:rPr>
          <w:rFonts w:hint="eastAsia"/>
        </w:rPr>
        <w:t>[4]周嘉陵. 中国高校毕业生就业状况及影响因素研究——基于CGSS2018数据的实证分析[J].职业教育,2025,24(26):3-13.</w:t>
      </w:r>
    </w:p>
    <w:p w14:paraId="44D50458">
      <w:pPr>
        <w:numPr>
          <w:numId w:val="0"/>
        </w:numPr>
        <w:rPr>
          <w:rFonts w:hint="eastAsia"/>
        </w:rPr>
      </w:pPr>
      <w:r>
        <w:rPr>
          <w:rFonts w:hint="eastAsia"/>
        </w:rPr>
        <w:t>[5]张冰子. 促进人力资源供需匹配的发展路径[J].行政管理改革,2025,(08):15-22.DOI:10.14150/j.cnki.1674-7453.2025.08.003.</w:t>
      </w:r>
    </w:p>
    <w:p w14:paraId="65057807">
      <w:pPr>
        <w:numPr>
          <w:numId w:val="0"/>
        </w:numPr>
      </w:pPr>
      <w:r>
        <w:rPr>
          <w:rFonts w:hint="eastAsia"/>
        </w:rPr>
        <w:t>[6]黄阳华,张津硕,张佳佳,等. 数字经济影响就业形态再讨论——劳动者数字化水平与就业选择的微观证据[J].数量经济技术经济研究,2025,42(07):68-87.DOI:10.13653/j.cnki.jqte.20250702.001.</w:t>
      </w:r>
    </w:p>
    <w:p w14:paraId="60671B5C">
      <w:pPr>
        <w:pStyle w:val="4"/>
        <w:rPr>
          <w:b/>
        </w:rPr>
      </w:pPr>
      <w:r>
        <w:rPr>
          <w:b/>
        </w:rPr>
        <w:t>二、 职业规划与教育研究</w:t>
      </w:r>
    </w:p>
    <w:p w14:paraId="51FF206A">
      <w:pPr>
        <w:jc w:val="both"/>
        <w:rPr>
          <w:rFonts w:hint="eastAsia"/>
        </w:rPr>
      </w:pPr>
      <w:r>
        <w:rPr>
          <w:rFonts w:hint="eastAsia"/>
        </w:rPr>
        <w:t>[1]张健. 职业教育应然打开方式：向跨而行、向融而进、向新而强[J/OL].当代职业教育,1-8[2025-12-04].https://doi.org/10.16851/j.cnki.51-1728/g4.20251126.006.</w:t>
      </w:r>
    </w:p>
    <w:p w14:paraId="7E21453E">
      <w:pPr>
        <w:jc w:val="both"/>
        <w:rPr>
          <w:rFonts w:hint="eastAsia"/>
        </w:rPr>
      </w:pPr>
      <w:r>
        <w:rPr>
          <w:rFonts w:hint="eastAsia"/>
        </w:rPr>
        <w:t>[2]柏松,王雪琳.“订单班”助力职业教育产教融合[N].安徽日报,2025-08-13(005). DOI:10.27996/n.cnki.nahrb.2025.006068.</w:t>
      </w:r>
    </w:p>
    <w:p w14:paraId="2F0951A9">
      <w:pPr>
        <w:jc w:val="both"/>
        <w:rPr>
          <w:rFonts w:hint="eastAsia"/>
        </w:rPr>
      </w:pPr>
      <w:r>
        <w:rPr>
          <w:rFonts w:hint="eastAsia"/>
        </w:rPr>
        <w:t>[3]祁信芳. 兴趣驱动的逆向选科：霍兰德量表应用[J].河北教育(德育版),2025,63(Z1):76.</w:t>
      </w:r>
    </w:p>
    <w:p w14:paraId="3319DF51">
      <w:pPr>
        <w:jc w:val="both"/>
        <w:rPr>
          <w:rFonts w:hint="eastAsia"/>
        </w:rPr>
      </w:pPr>
      <w:r>
        <w:rPr>
          <w:rFonts w:hint="eastAsia"/>
        </w:rPr>
        <w:t>[4]王伟,彭磊义. 社会认知生涯视角下高职学生的职业选择研究[J].天津职业大学学报,2025,34(03):71-81.</w:t>
      </w:r>
    </w:p>
    <w:p w14:paraId="7B960EB8">
      <w:pPr>
        <w:jc w:val="both"/>
        <w:rPr>
          <w:rFonts w:hint="eastAsia"/>
        </w:rPr>
      </w:pPr>
      <w:r>
        <w:rPr>
          <w:rFonts w:hint="eastAsia"/>
        </w:rPr>
        <w:t>[5]李想.网络名人对大学生职业兴趣的影响及对策研究[D].上海师范大学,2025.DOI:10.27312/d.cnki.gshsu.2025.002321.</w:t>
      </w:r>
    </w:p>
    <w:p w14:paraId="0A5ED7B8">
      <w:pPr>
        <w:jc w:val="both"/>
      </w:pPr>
      <w:r>
        <w:rPr>
          <w:rFonts w:hint="eastAsia"/>
        </w:rPr>
        <w:t>[6]储银娣.短视频类型对大学生职业兴趣的影响研究及社会工作介入对策[D].上海师范大学,2024.DOI:10.27312/d.cnki.gshsu.2024.000525.</w:t>
      </w:r>
    </w:p>
    <w:p w14:paraId="334048B9">
      <w:pPr>
        <w:pStyle w:val="4"/>
        <w:rPr>
          <w:b/>
        </w:rPr>
      </w:pPr>
      <w:r>
        <w:rPr>
          <w:b/>
        </w:rPr>
        <w:t>三、 系统工程与霍尔方法论</w:t>
      </w:r>
    </w:p>
    <w:p w14:paraId="1EBF1231">
      <w:pPr>
        <w:rPr>
          <w:rFonts w:hint="eastAsia"/>
        </w:rPr>
      </w:pPr>
      <w:r>
        <w:rPr>
          <w:rFonts w:hint="eastAsia"/>
        </w:rPr>
        <w:t>[1]李辉. 如何做好公共管理案例研究？——中国情境下的论争、回应与提升路径[J].行政论坛,2025,32(05):102-113.DOI:10.16637/j.cnki.23-1360/d.2025.05.009.</w:t>
      </w:r>
    </w:p>
    <w:p w14:paraId="6B975278">
      <w:pPr>
        <w:rPr>
          <w:rFonts w:hint="eastAsia"/>
        </w:rPr>
      </w:pPr>
      <w:r>
        <w:rPr>
          <w:rFonts w:hint="eastAsia"/>
        </w:rPr>
        <w:t>[2]寇明婷,梁奕,杨一帆,等. 国家创新体系效能的政策组合支持路径仿真研究[J].科研管理,2025,46(08):13-26.DOI:10.19571/j.cnki.1000-2995.2025.08.002.</w:t>
      </w:r>
    </w:p>
    <w:p w14:paraId="4FD903A1">
      <w:pPr>
        <w:rPr>
          <w:rFonts w:hint="eastAsia"/>
        </w:rPr>
      </w:pPr>
      <w:r>
        <w:rPr>
          <w:rFonts w:hint="eastAsia"/>
        </w:rPr>
        <w:t>[3]徐浩然. 中国式现代化的系统工程问题研究[J].科学社会主义,2023,(03):25-33.</w:t>
      </w:r>
    </w:p>
    <w:p w14:paraId="2C0BD0C1">
      <w:r>
        <w:rPr>
          <w:rFonts w:hint="eastAsia"/>
        </w:rPr>
        <w:t>[4]车莉. 基于霍尔三维结构的大学生培养体系研究[J].中国青年研究,2013,(10):70-73.DOI:10.19633/j.cnki.11-2579/d.2013.10.015.</w:t>
      </w:r>
    </w:p>
    <w:p w14:paraId="49416991">
      <w:pPr>
        <w:pStyle w:val="4"/>
        <w:rPr>
          <w:b/>
        </w:rPr>
      </w:pPr>
      <w:r>
        <w:rPr>
          <w:b/>
        </w:rPr>
        <w:t>四、 相关理论与多学科基础</w:t>
      </w:r>
    </w:p>
    <w:p w14:paraId="2EF219CD">
      <w:pPr>
        <w:rPr>
          <w:rFonts w:hint="eastAsia"/>
        </w:rPr>
      </w:pPr>
      <w:r>
        <w:rPr>
          <w:rFonts w:hint="eastAsia"/>
        </w:rPr>
        <w:t>[1]易君健,林轶凡,周子焜,等. 人工智能时代劳动力市场理论与结构计量研究[J].中国科学基金,2025,39(05):807-816.</w:t>
      </w:r>
    </w:p>
    <w:p w14:paraId="05775FB0">
      <w:pPr>
        <w:rPr>
          <w:rFonts w:hint="eastAsia"/>
        </w:rPr>
      </w:pPr>
      <w:r>
        <w:rPr>
          <w:rFonts w:hint="eastAsia"/>
        </w:rPr>
        <w:t>[2]方建锋,刘冰洁. 我国城市群高等教育资源发展与布局重构——基于中国五大城市群的研究[J].中国大学生就业,2025,(10):16-27.DOI:10.20017/j.cnki.1009-0576.2025.10.002.</w:t>
      </w:r>
    </w:p>
    <w:p w14:paraId="73DBEF7D">
      <w:pPr>
        <w:rPr>
          <w:rFonts w:hint="eastAsia"/>
        </w:rPr>
      </w:pPr>
      <w:r>
        <w:rPr>
          <w:rFonts w:hint="eastAsia"/>
        </w:rPr>
        <w:t>[3]吴剑辉,李文洁. 数据要素对企业新质生产力的影响——基于信息不对称与资源配置的视角[J].金融发展研究,2025,(06):22-31.DOI:10.19647/j.cnki.37-1462/f.2025.06.003.</w:t>
      </w:r>
    </w:p>
    <w:p w14:paraId="45DA3622">
      <w:r>
        <w:rPr>
          <w:rFonts w:hint="eastAsia"/>
        </w:rPr>
        <w:t>[4]王建华. 高等教育公平的两重性：隐藏的不公与想象的公平[J].江苏高教,2022,(04):1-9.DOI:10.13236/j.cnki.jshe.2022.04.001.</w:t>
      </w:r>
    </w:p>
    <w:p w14:paraId="3DC8A95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汉仪仿宋简">
    <w:panose1 w:val="02010600000101010101"/>
    <w:charset w:val="80"/>
    <w:family w:val="auto"/>
    <w:pitch w:val="default"/>
    <w:sig w:usb0="800002BF" w:usb1="184F6CF8" w:usb2="00000012" w:usb3="00000000" w:csb0="00020001" w:csb1="00000000"/>
  </w:font>
  <w:font w:name="汉仪大宋简">
    <w:panose1 w:val="02010600000101010101"/>
    <w:charset w:val="86"/>
    <w:family w:val="auto"/>
    <w:pitch w:val="default"/>
    <w:sig w:usb0="00000001" w:usb1="080E0800" w:usb2="00000002"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155837"/>
    <w:multiLevelType w:val="singleLevel"/>
    <w:tmpl w:val="97155837"/>
    <w:lvl w:ilvl="0" w:tentative="0">
      <w:start w:val="1"/>
      <w:numFmt w:val="decimal"/>
      <w:lvlText w:val="%1."/>
      <w:lvlJc w:val="left"/>
      <w:pPr>
        <w:ind w:left="720" w:hanging="360"/>
      </w:pPr>
      <w:rPr>
        <w:sz w:val="24"/>
      </w:rPr>
    </w:lvl>
  </w:abstractNum>
  <w:abstractNum w:abstractNumId="1">
    <w:nsid w:val="BA1D2D19"/>
    <w:multiLevelType w:val="singleLevel"/>
    <w:tmpl w:val="BA1D2D19"/>
    <w:lvl w:ilvl="0" w:tentative="0">
      <w:start w:val="1"/>
      <w:numFmt w:val="chineseCounting"/>
      <w:suff w:val="space"/>
      <w:lvlText w:val="%1、"/>
      <w:lvlJc w:val="left"/>
      <w:rPr>
        <w:rFonts w:hint="eastAsia"/>
      </w:rPr>
    </w:lvl>
  </w:abstractNum>
  <w:abstractNum w:abstractNumId="2">
    <w:nsid w:val="C8675471"/>
    <w:multiLevelType w:val="singleLevel"/>
    <w:tmpl w:val="C8675471"/>
    <w:lvl w:ilvl="0" w:tentative="0">
      <w:start w:val="1"/>
      <w:numFmt w:val="bullet"/>
      <w:lvlText w:val=""/>
      <w:lvlJc w:val="left"/>
      <w:pPr>
        <w:ind w:left="720" w:hanging="360"/>
      </w:pPr>
      <w:rPr>
        <w:rFonts w:hint="default" w:ascii="Symbol" w:hAnsi="Symbol" w:cs="Symbol"/>
        <w:sz w:val="20"/>
      </w:rPr>
    </w:lvl>
  </w:abstractNum>
  <w:abstractNum w:abstractNumId="3">
    <w:nsid w:val="23825A6F"/>
    <w:multiLevelType w:val="singleLevel"/>
    <w:tmpl w:val="23825A6F"/>
    <w:lvl w:ilvl="0" w:tentative="0">
      <w:start w:val="1"/>
      <w:numFmt w:val="decimal"/>
      <w:lvlText w:val="%1."/>
      <w:lvlJc w:val="left"/>
      <w:pPr>
        <w:ind w:left="720" w:hanging="360"/>
      </w:pPr>
      <w:rPr>
        <w:sz w:val="24"/>
      </w:rPr>
    </w:lvl>
  </w:abstractNum>
  <w:abstractNum w:abstractNumId="4">
    <w:nsid w:val="5D98F513"/>
    <w:multiLevelType w:val="singleLevel"/>
    <w:tmpl w:val="5D98F513"/>
    <w:lvl w:ilvl="0" w:tentative="0">
      <w:start w:val="1"/>
      <w:numFmt w:val="decimal"/>
      <w:lvlText w:val="%1."/>
      <w:lvlJc w:val="left"/>
      <w:pPr>
        <w:ind w:left="720" w:hanging="360"/>
      </w:pPr>
      <w:rPr>
        <w:sz w:val="24"/>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AA112A"/>
    <w:rsid w:val="173A24A9"/>
    <w:rsid w:val="4AAA112A"/>
    <w:rsid w:val="743E0A6B"/>
    <w:rsid w:val="7CD20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Emphasis"/>
    <w:basedOn w:val="6"/>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2025-12-04T02:56:00Z</dcterms:created>
  <dc:creator>七月</dc:creator>
  <cp:lastModifiedBy>七月</cp:lastModifiedBy>
  <dcterms:modified xsi:type="dcterms:W3CDTF">2025-12-04T04:01:57Z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91272C6BF859464284CF765D8F7A08E9_11</vt:lpwstr>
  </property>
  <property fmtid="{D5CDD505-2E9C-101B-9397-08002B2CF9AE}" pid="4" name="KSOTemplateDocerSaveRecord">
    <vt:lpwstr>eyJoZGlkIjoiMTkwZjhiMmQ5MzMzMGM3NDMyZGVlZjcxNzJmMDM2MDciLCJ1c2VySWQiOiIxMjkzOTQzOTA3In0=</vt:lpwstr>
  </property>
</Properties>
</file>