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8E215A">
      <w:pPr>
        <w:spacing w:before="380" w:after="140" w:line="288" w:lineRule="auto"/>
        <w:ind w:left="0"/>
        <w:jc w:val="center"/>
        <w:outlineLvl w:val="0"/>
        <w:rPr>
          <w:rFonts w:hint="eastAsia" w:asciiTheme="majorEastAsia" w:hAnsiTheme="majorEastAsia" w:eastAsiaTheme="majorEastAsia" w:cstheme="majorEastAsia"/>
          <w:b/>
          <w:sz w:val="36"/>
        </w:rPr>
      </w:pPr>
      <w:bookmarkStart w:id="0" w:name="heading_0"/>
      <w:r>
        <w:rPr>
          <w:rFonts w:hint="eastAsia" w:asciiTheme="majorEastAsia" w:hAnsiTheme="majorEastAsia" w:eastAsiaTheme="majorEastAsia" w:cstheme="majorEastAsia"/>
          <w:b/>
          <w:sz w:val="36"/>
        </w:rPr>
        <w:t>东方大厦建设项目财务评价报告</w:t>
      </w:r>
      <w:bookmarkEnd w:id="0"/>
    </w:p>
    <w:p w14:paraId="21A404F9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1" w:name="heading_1"/>
      <w:r>
        <w:rPr>
          <w:rFonts w:hint="eastAsia" w:asciiTheme="minorEastAsia" w:hAnsiTheme="minorEastAsia" w:eastAsiaTheme="minorEastAsia" w:cstheme="minorEastAsia"/>
          <w:b/>
          <w:sz w:val="32"/>
        </w:rPr>
        <w:t>一、项目概况</w:t>
      </w:r>
      <w:bookmarkEnd w:id="1"/>
    </w:p>
    <w:p w14:paraId="2189E225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2" w:name="heading_2"/>
      <w:r>
        <w:rPr>
          <w:rFonts w:hint="eastAsia" w:asciiTheme="minorEastAsia" w:hAnsiTheme="minorEastAsia" w:eastAsiaTheme="minorEastAsia" w:cstheme="minorEastAsia"/>
          <w:b/>
          <w:sz w:val="30"/>
        </w:rPr>
        <w:t>1.1 项目基本信息</w:t>
      </w:r>
      <w:bookmarkEnd w:id="2"/>
    </w:p>
    <w:p w14:paraId="0B31386C">
      <w:pPr>
        <w:numPr>
          <w:numId w:val="0"/>
        </w:numPr>
        <w:spacing w:before="120" w:after="120" w:line="288" w:lineRule="auto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项目名称</w:t>
      </w:r>
      <w:r>
        <w:rPr>
          <w:rFonts w:hint="eastAsia" w:asciiTheme="minorEastAsia" w:hAnsiTheme="minorEastAsia" w:eastAsiaTheme="minorEastAsia" w:cstheme="minorEastAsia"/>
          <w:sz w:val="22"/>
        </w:rPr>
        <w:t>：东方大厦建设项目</w:t>
      </w:r>
    </w:p>
    <w:p w14:paraId="26992300">
      <w:pPr>
        <w:numPr>
          <w:numId w:val="0"/>
        </w:numPr>
        <w:spacing w:before="120" w:after="120" w:line="288" w:lineRule="auto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项目性质</w:t>
      </w:r>
      <w:r>
        <w:rPr>
          <w:rFonts w:hint="eastAsia" w:asciiTheme="minorEastAsia" w:hAnsiTheme="minorEastAsia" w:eastAsiaTheme="minorEastAsia" w:cstheme="minorEastAsia"/>
          <w:sz w:val="22"/>
        </w:rPr>
        <w:t>：集办公、商务配套于一体的5A级智能高档商务写字楼开发项目，运营模式为出租+期末出售</w:t>
      </w:r>
    </w:p>
    <w:p w14:paraId="28721606">
      <w:pPr>
        <w:numPr>
          <w:numId w:val="0"/>
        </w:numPr>
        <w:spacing w:before="120" w:after="120" w:line="288" w:lineRule="auto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项目规模</w:t>
      </w:r>
      <w:r>
        <w:rPr>
          <w:rFonts w:hint="eastAsia" w:asciiTheme="minorEastAsia" w:hAnsiTheme="minorEastAsia" w:eastAsiaTheme="minorEastAsia" w:cstheme="minorEastAsia"/>
          <w:sz w:val="22"/>
        </w:rPr>
        <w:t>：总建筑面积33300㎡，可出租面积30000㎡（扣除公共区域）</w:t>
      </w:r>
    </w:p>
    <w:p w14:paraId="6824386F">
      <w:pPr>
        <w:numPr>
          <w:numId w:val="0"/>
        </w:numPr>
        <w:spacing w:before="120" w:after="120" w:line="288" w:lineRule="auto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项目周期</w:t>
      </w:r>
      <w:r>
        <w:rPr>
          <w:rFonts w:hint="eastAsia" w:asciiTheme="minorEastAsia" w:hAnsiTheme="minorEastAsia" w:eastAsiaTheme="minorEastAsia" w:cstheme="minorEastAsia"/>
          <w:sz w:val="22"/>
        </w:rPr>
        <w:t>：</w:t>
      </w:r>
    </w:p>
    <w:p w14:paraId="6DAF509C">
      <w:pPr>
        <w:numPr>
          <w:numId w:val="0"/>
        </w:numPr>
        <w:spacing w:before="120" w:after="120" w:line="288" w:lineRule="auto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建设期：29个月（2006年启动，2008年底完工，换算为2.42年）</w:t>
      </w:r>
    </w:p>
    <w:p w14:paraId="180095E1">
      <w:pPr>
        <w:numPr>
          <w:numId w:val="0"/>
        </w:numPr>
        <w:spacing w:before="120" w:after="120" w:line="288" w:lineRule="auto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运营期：20年（2009-2028年，以出租为主要收入来源）</w:t>
      </w:r>
    </w:p>
    <w:p w14:paraId="057567F5">
      <w:pPr>
        <w:numPr>
          <w:numId w:val="0"/>
        </w:numPr>
        <w:spacing w:before="120" w:after="120" w:line="288" w:lineRule="auto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项目计算期：24年（建设期+运营期+2029年出售环节）</w:t>
      </w:r>
    </w:p>
    <w:p w14:paraId="442CE66C">
      <w:pPr>
        <w:numPr>
          <w:numId w:val="0"/>
        </w:numPr>
        <w:spacing w:before="120" w:after="120" w:line="288" w:lineRule="auto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项目定位</w:t>
      </w:r>
      <w:r>
        <w:rPr>
          <w:rFonts w:hint="eastAsia" w:asciiTheme="minorEastAsia" w:hAnsiTheme="minorEastAsia" w:eastAsiaTheme="minorEastAsia" w:cstheme="minorEastAsia"/>
          <w:sz w:val="22"/>
        </w:rPr>
        <w:t>：具备完善科技配套的高品质智能写字楼，涵盖电话通信、电缆电视、电信宽带、安全监控、自动报警等5A级智能化系统</w:t>
      </w:r>
    </w:p>
    <w:p w14:paraId="3626697F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3" w:name="heading_3"/>
      <w:r>
        <w:rPr>
          <w:rFonts w:hint="eastAsia" w:asciiTheme="minorEastAsia" w:hAnsiTheme="minorEastAsia" w:eastAsiaTheme="minorEastAsia" w:cstheme="minorEastAsia"/>
          <w:b/>
          <w:sz w:val="30"/>
        </w:rPr>
        <w:t>1.2 投资规模与资金筹措</w:t>
      </w:r>
      <w:bookmarkEnd w:id="3"/>
    </w:p>
    <w:p w14:paraId="03E8AB57">
      <w:pPr>
        <w:numPr>
          <w:numId w:val="0"/>
        </w:numPr>
        <w:spacing w:before="120" w:after="120" w:line="288" w:lineRule="auto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项目总投资</w:t>
      </w:r>
      <w:r>
        <w:rPr>
          <w:rFonts w:hint="eastAsia" w:asciiTheme="minorEastAsia" w:hAnsiTheme="minorEastAsia" w:eastAsiaTheme="minorEastAsia" w:cstheme="minorEastAsia"/>
          <w:sz w:val="22"/>
        </w:rPr>
        <w:t>：11793.46万元</w:t>
      </w:r>
    </w:p>
    <w:p w14:paraId="079313D8">
      <w:pPr>
        <w:numPr>
          <w:numId w:val="0"/>
        </w:numPr>
        <w:spacing w:before="120" w:after="120" w:line="288" w:lineRule="auto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开发成本：10643.46万元（占总投资89.91%），含建筑安装工程费9345.24万元、室外附属工程29.12万元、设备购置费350万元、工程建设其他费用413.3万元（含建设期利息65万元）、预备费505.8万元</w:t>
      </w:r>
    </w:p>
    <w:p w14:paraId="7055E655">
      <w:pPr>
        <w:numPr>
          <w:numId w:val="0"/>
        </w:numPr>
        <w:spacing w:before="120" w:after="120" w:line="288" w:lineRule="auto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开发费用：1050万元（占总投资8.90%）</w:t>
      </w:r>
    </w:p>
    <w:p w14:paraId="68DB0540">
      <w:pPr>
        <w:numPr>
          <w:numId w:val="0"/>
        </w:numPr>
        <w:spacing w:before="120" w:after="120" w:line="288" w:lineRule="auto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流动资金：100万元（占总投资0.85%）</w:t>
      </w:r>
    </w:p>
    <w:p w14:paraId="3D11CF98">
      <w:pPr>
        <w:numPr>
          <w:numId w:val="0"/>
        </w:numPr>
        <w:spacing w:before="120" w:after="120" w:line="288" w:lineRule="auto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资金筹措方案</w:t>
      </w:r>
      <w:r>
        <w:rPr>
          <w:rFonts w:hint="eastAsia" w:asciiTheme="minorEastAsia" w:hAnsiTheme="minorEastAsia" w:eastAsiaTheme="minorEastAsia" w:cstheme="minorEastAsia"/>
          <w:sz w:val="22"/>
        </w:rPr>
        <w:t>：</w:t>
      </w:r>
    </w:p>
    <w:p w14:paraId="74F48438">
      <w:pPr>
        <w:numPr>
          <w:numId w:val="0"/>
        </w:numPr>
        <w:spacing w:before="120" w:after="120" w:line="288" w:lineRule="auto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自有资本金：4782.46万元，占总投资40.55%，其中固定资产投资4763.46万元，流动资金19万元</w:t>
      </w:r>
    </w:p>
    <w:p w14:paraId="5FBADB47">
      <w:pPr>
        <w:numPr>
          <w:numId w:val="0"/>
        </w:numPr>
        <w:spacing w:before="120" w:after="120" w:line="288" w:lineRule="auto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借款资金：7011万元，占总投资59.45%</w:t>
      </w:r>
    </w:p>
    <w:p w14:paraId="02D735A4">
      <w:pPr>
        <w:numPr>
          <w:numId w:val="0"/>
        </w:numPr>
        <w:spacing w:before="120" w:after="120" w:line="288" w:lineRule="auto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建设银行借款：6000万元，借款利率6.2%</w:t>
      </w:r>
    </w:p>
    <w:p w14:paraId="5FA1AC04">
      <w:pPr>
        <w:numPr>
          <w:numId w:val="0"/>
        </w:numPr>
        <w:spacing w:before="120" w:after="120" w:line="288" w:lineRule="auto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商业银行基建借款：930万元，借款利率6.4%</w:t>
      </w:r>
    </w:p>
    <w:p w14:paraId="7B829B2A">
      <w:pPr>
        <w:numPr>
          <w:numId w:val="0"/>
        </w:numPr>
        <w:spacing w:before="120" w:after="120" w:line="288" w:lineRule="auto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商业银行流动资金借款：81万元，借款利率4.9%（2009年借入）</w:t>
      </w:r>
    </w:p>
    <w:p w14:paraId="302D663D">
      <w:pPr>
        <w:numPr>
          <w:numId w:val="0"/>
        </w:numPr>
        <w:spacing w:before="120" w:after="120" w:line="288" w:lineRule="auto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借款偿还：借款利息每年末偿还，本金归还资金来源于税后利润和折旧摊销；还款期间不提取盈余公积，贷款还清后按税后利润10%提取</w:t>
      </w:r>
    </w:p>
    <w:p w14:paraId="4C74AF4F">
      <w:pPr>
        <w:numPr>
          <w:numId w:val="0"/>
        </w:numPr>
        <w:spacing w:before="120" w:after="120" w:line="288" w:lineRule="auto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资金使用计划</w:t>
      </w:r>
      <w:r>
        <w:rPr>
          <w:rFonts w:hint="eastAsia" w:asciiTheme="minorEastAsia" w:hAnsiTheme="minorEastAsia" w:eastAsiaTheme="minorEastAsia" w:cstheme="minorEastAsia"/>
          <w:sz w:val="22"/>
        </w:rPr>
        <w:t>：</w:t>
      </w:r>
    </w:p>
    <w:p w14:paraId="236CA9CF">
      <w:pPr>
        <w:numPr>
          <w:numId w:val="0"/>
        </w:numPr>
        <w:spacing w:before="120" w:after="120" w:line="288" w:lineRule="auto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开发成本：2006年投入25%（2660.87万元）、2007年投入35%（3725.21万元）、2008年投入40%（4257.38万元）</w:t>
      </w:r>
    </w:p>
    <w:p w14:paraId="353F2208">
      <w:pPr>
        <w:numPr>
          <w:numId w:val="0"/>
        </w:numPr>
        <w:spacing w:before="120" w:after="120" w:line="288" w:lineRule="auto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开发费用：2006年投入252万元、2007年投入367.5万元、2008年投入390万元</w:t>
      </w:r>
    </w:p>
    <w:p w14:paraId="42539DB4">
      <w:pPr>
        <w:numPr>
          <w:numId w:val="0"/>
        </w:numPr>
        <w:spacing w:before="120" w:after="120" w:line="288" w:lineRule="auto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流动资金：2009年投入100万元（自有19万元+借款81万元）</w:t>
      </w:r>
    </w:p>
    <w:p w14:paraId="16D9ADF7">
      <w:pPr>
        <w:numPr>
          <w:numId w:val="0"/>
        </w:numPr>
        <w:spacing w:before="120" w:after="120" w:line="288" w:lineRule="auto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长期借款：建设期三年按25%、35%、40%比例借入，分别为1732.50万元、2425.50万元、2772.00万元</w:t>
      </w:r>
    </w:p>
    <w:p w14:paraId="69CFF2B4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4" w:name="heading_4"/>
      <w:r>
        <w:rPr>
          <w:rFonts w:hint="eastAsia" w:asciiTheme="minorEastAsia" w:hAnsiTheme="minorEastAsia" w:eastAsiaTheme="minorEastAsia" w:cstheme="minorEastAsia"/>
          <w:b/>
          <w:sz w:val="32"/>
        </w:rPr>
        <w:t>二、财务评价基础数据</w:t>
      </w:r>
      <w:bookmarkEnd w:id="4"/>
    </w:p>
    <w:p w14:paraId="71481EE6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5" w:name="heading_5"/>
      <w:r>
        <w:rPr>
          <w:rFonts w:hint="eastAsia" w:asciiTheme="minorEastAsia" w:hAnsiTheme="minorEastAsia" w:eastAsiaTheme="minorEastAsia" w:cstheme="minorEastAsia"/>
          <w:b/>
          <w:sz w:val="30"/>
        </w:rPr>
        <w:t>2.1 收入估算</w:t>
      </w:r>
      <w:bookmarkEnd w:id="5"/>
    </w:p>
    <w:p w14:paraId="2208D450">
      <w:pPr>
        <w:numPr>
          <w:numId w:val="0"/>
        </w:numPr>
        <w:spacing w:before="120" w:after="120" w:line="288" w:lineRule="auto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收入来源</w:t>
      </w:r>
      <w:r>
        <w:rPr>
          <w:rFonts w:hint="eastAsia" w:asciiTheme="minorEastAsia" w:hAnsiTheme="minorEastAsia" w:eastAsiaTheme="minorEastAsia" w:cstheme="minorEastAsia"/>
          <w:sz w:val="22"/>
        </w:rPr>
        <w:t>：租赁收入（运营期）+ 写字楼出售收入（期末）</w:t>
      </w:r>
    </w:p>
    <w:p w14:paraId="5FA251DD">
      <w:pPr>
        <w:numPr>
          <w:numId w:val="0"/>
        </w:numPr>
        <w:spacing w:before="120" w:after="120" w:line="288" w:lineRule="auto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租赁收入明细</w:t>
      </w:r>
      <w:r>
        <w:rPr>
          <w:rFonts w:hint="eastAsia" w:asciiTheme="minorEastAsia" w:hAnsiTheme="minorEastAsia" w:eastAsiaTheme="minorEastAsia" w:cstheme="minorEastAsia"/>
          <w:sz w:val="22"/>
        </w:rPr>
        <w:t>：</w:t>
      </w:r>
    </w:p>
    <w:p w14:paraId="71382EF7">
      <w:pPr>
        <w:numPr>
          <w:numId w:val="0"/>
        </w:numPr>
        <w:spacing w:before="120" w:after="120" w:line="288" w:lineRule="auto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2009-2013年：1600万元/年</w:t>
      </w:r>
    </w:p>
    <w:p w14:paraId="2394AE2C">
      <w:pPr>
        <w:numPr>
          <w:numId w:val="0"/>
        </w:numPr>
        <w:spacing w:before="120" w:after="120" w:line="288" w:lineRule="auto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2014-2018年：1800万元/年</w:t>
      </w:r>
    </w:p>
    <w:p w14:paraId="078DA027">
      <w:pPr>
        <w:numPr>
          <w:numId w:val="0"/>
        </w:numPr>
        <w:spacing w:before="120" w:after="120" w:line="288" w:lineRule="auto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2019-2023年：1950万元/年（正常年份营业收入）</w:t>
      </w:r>
    </w:p>
    <w:p w14:paraId="15B97A13">
      <w:pPr>
        <w:numPr>
          <w:numId w:val="0"/>
        </w:numPr>
        <w:spacing w:before="120" w:after="120" w:line="288" w:lineRule="auto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2024-2028年：1800万元/年</w:t>
      </w:r>
    </w:p>
    <w:p w14:paraId="0EFE9E54">
      <w:pPr>
        <w:numPr>
          <w:numId w:val="0"/>
        </w:numPr>
        <w:spacing w:before="120" w:after="120" w:line="288" w:lineRule="auto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出售收入</w:t>
      </w:r>
      <w:r>
        <w:rPr>
          <w:rFonts w:hint="eastAsia" w:asciiTheme="minorEastAsia" w:hAnsiTheme="minorEastAsia" w:eastAsiaTheme="minorEastAsia" w:cstheme="minorEastAsia"/>
          <w:sz w:val="22"/>
        </w:rPr>
        <w:t>：2029年写字楼出售收入9000万元（评估价格7000万元）</w:t>
      </w:r>
    </w:p>
    <w:p w14:paraId="3A7EA6DA">
      <w:pPr>
        <w:numPr>
          <w:numId w:val="0"/>
        </w:numPr>
        <w:spacing w:before="120" w:after="120" w:line="288" w:lineRule="auto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单位租金</w:t>
      </w:r>
      <w:r>
        <w:rPr>
          <w:rFonts w:hint="eastAsia" w:asciiTheme="minorEastAsia" w:hAnsiTheme="minorEastAsia" w:eastAsiaTheme="minorEastAsia" w:cstheme="minorEastAsia"/>
          <w:sz w:val="22"/>
        </w:rPr>
        <w:t>：0.065万元/㎡·年（基于正常年份1950万元租赁收入÷30000㎡可出租面积）</w:t>
      </w:r>
    </w:p>
    <w:p w14:paraId="42B0C463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6" w:name="heading_6"/>
      <w:r>
        <w:rPr>
          <w:rFonts w:hint="eastAsia" w:asciiTheme="minorEastAsia" w:hAnsiTheme="minorEastAsia" w:eastAsiaTheme="minorEastAsia" w:cstheme="minorEastAsia"/>
          <w:b/>
          <w:sz w:val="30"/>
        </w:rPr>
        <w:t>2.2 成本费用估算</w:t>
      </w:r>
      <w:bookmarkEnd w:id="6"/>
    </w:p>
    <w:p w14:paraId="0915D256">
      <w:pPr>
        <w:numPr>
          <w:numId w:val="0"/>
        </w:numPr>
        <w:spacing w:before="120" w:after="120" w:line="288" w:lineRule="auto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折旧政策</w:t>
      </w:r>
      <w:r>
        <w:rPr>
          <w:rFonts w:hint="eastAsia" w:asciiTheme="minorEastAsia" w:hAnsiTheme="minorEastAsia" w:eastAsiaTheme="minorEastAsia" w:cstheme="minorEastAsia"/>
          <w:sz w:val="22"/>
        </w:rPr>
        <w:t>：写字楼折旧年限20年，采用直线法折旧，残值率5%，年折旧额505.46万元（2009年起计提）</w:t>
      </w:r>
    </w:p>
    <w:p w14:paraId="6E64A08E">
      <w:pPr>
        <w:numPr>
          <w:numId w:val="0"/>
        </w:numPr>
        <w:spacing w:before="120" w:after="120" w:line="288" w:lineRule="auto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人工工资</w:t>
      </w:r>
      <w:r>
        <w:rPr>
          <w:rFonts w:hint="eastAsia" w:asciiTheme="minorEastAsia" w:hAnsiTheme="minorEastAsia" w:eastAsiaTheme="minorEastAsia" w:cstheme="minorEastAsia"/>
          <w:sz w:val="22"/>
        </w:rPr>
        <w:t>：2009年基数30万元/年，每5年增长2%，逐年递增5%</w:t>
      </w:r>
    </w:p>
    <w:p w14:paraId="3BA82FF0">
      <w:pPr>
        <w:numPr>
          <w:numId w:val="0"/>
        </w:numPr>
        <w:spacing w:before="120" w:after="120" w:line="288" w:lineRule="auto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维护保养费</w:t>
      </w:r>
      <w:r>
        <w:rPr>
          <w:rFonts w:hint="eastAsia" w:asciiTheme="minorEastAsia" w:hAnsiTheme="minorEastAsia" w:eastAsiaTheme="minorEastAsia" w:cstheme="minorEastAsia"/>
          <w:sz w:val="22"/>
        </w:rPr>
        <w:t>：按当年租赁收入的1%计提（2009年起）</w:t>
      </w:r>
    </w:p>
    <w:p w14:paraId="66C8CD48">
      <w:pPr>
        <w:numPr>
          <w:numId w:val="0"/>
        </w:numPr>
        <w:spacing w:before="120" w:after="120" w:line="288" w:lineRule="auto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大修基金</w:t>
      </w:r>
      <w:r>
        <w:rPr>
          <w:rFonts w:hint="eastAsia" w:asciiTheme="minorEastAsia" w:hAnsiTheme="minorEastAsia" w:eastAsiaTheme="minorEastAsia" w:cstheme="minorEastAsia"/>
          <w:sz w:val="22"/>
        </w:rPr>
        <w:t>：每10年一次大修，2008年按开发成本1%计提，2018年增长5%，每次200万元</w:t>
      </w:r>
    </w:p>
    <w:p w14:paraId="268412FF">
      <w:pPr>
        <w:numPr>
          <w:numId w:val="0"/>
        </w:numPr>
        <w:spacing w:before="120" w:after="120" w:line="288" w:lineRule="auto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财务费用</w:t>
      </w:r>
      <w:r>
        <w:rPr>
          <w:rFonts w:hint="eastAsia" w:asciiTheme="minorEastAsia" w:hAnsiTheme="minorEastAsia" w:eastAsiaTheme="minorEastAsia" w:cstheme="minorEastAsia"/>
          <w:sz w:val="22"/>
        </w:rPr>
        <w:t>：含长期借款利息和流动资金借款利息，按借款余额及对应利率计算</w:t>
      </w:r>
    </w:p>
    <w:p w14:paraId="4A6832CE">
      <w:pPr>
        <w:numPr>
          <w:numId w:val="0"/>
        </w:numPr>
        <w:spacing w:before="120" w:after="120" w:line="288" w:lineRule="auto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其他费用</w:t>
      </w:r>
      <w:r>
        <w:rPr>
          <w:rFonts w:hint="eastAsia" w:asciiTheme="minorEastAsia" w:hAnsiTheme="minorEastAsia" w:eastAsiaTheme="minorEastAsia" w:cstheme="minorEastAsia"/>
          <w:sz w:val="22"/>
        </w:rPr>
        <w:t>：2009年为1.8万元，以后每年按1%增长率增长，运营期固定按50万元/年核算</w:t>
      </w:r>
    </w:p>
    <w:p w14:paraId="6EFB38D8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7" w:name="heading_7"/>
      <w:r>
        <w:rPr>
          <w:rFonts w:hint="eastAsia" w:asciiTheme="minorEastAsia" w:hAnsiTheme="minorEastAsia" w:eastAsiaTheme="minorEastAsia" w:cstheme="minorEastAsia"/>
          <w:b/>
          <w:sz w:val="30"/>
        </w:rPr>
        <w:t>2.3 税率参数</w:t>
      </w:r>
      <w:bookmarkEnd w:id="7"/>
    </w:p>
    <w:p w14:paraId="001F12B3">
      <w:pPr>
        <w:numPr>
          <w:numId w:val="0"/>
        </w:numPr>
        <w:spacing w:before="120" w:after="120" w:line="288" w:lineRule="auto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营业税及附加税率：5.55%（按租赁收入计征）</w:t>
      </w:r>
    </w:p>
    <w:p w14:paraId="3CE4AE44">
      <w:pPr>
        <w:numPr>
          <w:numId w:val="0"/>
        </w:numPr>
        <w:spacing w:before="120" w:after="120" w:line="288" w:lineRule="auto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房产税税率：12%（按租赁收入计征）</w:t>
      </w:r>
    </w:p>
    <w:p w14:paraId="544CFC90">
      <w:pPr>
        <w:numPr>
          <w:numId w:val="0"/>
        </w:numPr>
        <w:spacing w:before="120" w:after="120" w:line="288" w:lineRule="auto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印花税税率：0.1%（租赁总租金一次性缴纳）</w:t>
      </w:r>
    </w:p>
    <w:p w14:paraId="500621CA">
      <w:pPr>
        <w:numPr>
          <w:numId w:val="0"/>
        </w:numPr>
        <w:spacing w:before="120" w:after="120" w:line="288" w:lineRule="auto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所得税税率：20%（案例隐含税率）</w:t>
      </w:r>
    </w:p>
    <w:p w14:paraId="3A7D46AC">
      <w:pPr>
        <w:numPr>
          <w:numId w:val="0"/>
        </w:numPr>
        <w:spacing w:before="120" w:after="120" w:line="288" w:lineRule="auto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土地增值税：2029年出售时缴纳450万元（增值率20%，税率30%）</w:t>
      </w:r>
    </w:p>
    <w:p w14:paraId="28687A27">
      <w:pPr>
        <w:numPr>
          <w:numId w:val="0"/>
        </w:numPr>
        <w:spacing w:before="120" w:after="120" w:line="288" w:lineRule="auto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综合税率：17.55%（营业税及附加率+房产税税率）</w:t>
      </w:r>
    </w:p>
    <w:p w14:paraId="5B8B1B69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8" w:name="heading_8"/>
      <w:r>
        <w:rPr>
          <w:rFonts w:hint="eastAsia" w:asciiTheme="minorEastAsia" w:hAnsiTheme="minorEastAsia" w:eastAsiaTheme="minorEastAsia" w:cstheme="minorEastAsia"/>
          <w:b/>
          <w:sz w:val="30"/>
        </w:rPr>
        <w:t>2.4 评价参数</w:t>
      </w:r>
      <w:bookmarkEnd w:id="8"/>
    </w:p>
    <w:p w14:paraId="0E171C8B">
      <w:pPr>
        <w:numPr>
          <w:numId w:val="0"/>
        </w:numPr>
        <w:spacing w:before="120" w:after="120" w:line="288" w:lineRule="auto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基准收益率（ic）：8%（基于国债利率+风险溢价确定，一年期国债利率2.6%）</w:t>
      </w:r>
    </w:p>
    <w:p w14:paraId="0C0213DA">
      <w:pPr>
        <w:numPr>
          <w:numId w:val="0"/>
        </w:numPr>
        <w:spacing w:before="120" w:after="120" w:line="288" w:lineRule="auto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参考利率：一年期存款利率2.25%，商业贷款利率5.31%</w:t>
      </w:r>
    </w:p>
    <w:p w14:paraId="68FD2FCC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9" w:name="heading_9"/>
      <w:r>
        <w:rPr>
          <w:rFonts w:hint="eastAsia" w:asciiTheme="minorEastAsia" w:hAnsiTheme="minorEastAsia" w:eastAsiaTheme="minorEastAsia" w:cstheme="minorEastAsia"/>
          <w:b/>
          <w:sz w:val="32"/>
        </w:rPr>
        <w:t>三、财务报表分析</w:t>
      </w:r>
      <w:bookmarkEnd w:id="9"/>
    </w:p>
    <w:p w14:paraId="013B019B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10" w:name="heading_10"/>
      <w:r>
        <w:rPr>
          <w:rFonts w:hint="eastAsia" w:asciiTheme="minorEastAsia" w:hAnsiTheme="minorEastAsia" w:eastAsiaTheme="minorEastAsia" w:cstheme="minorEastAsia"/>
          <w:b/>
          <w:sz w:val="30"/>
        </w:rPr>
        <w:t>3.1 项目投资现金流量表分析</w:t>
      </w:r>
      <w:bookmarkEnd w:id="10"/>
    </w:p>
    <w:p w14:paraId="493812F2">
      <w:pPr>
        <w:numPr>
          <w:numId w:val="0"/>
        </w:numPr>
        <w:spacing w:before="120" w:after="120" w:line="288" w:lineRule="auto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核心指标</w:t>
      </w:r>
      <w:r>
        <w:rPr>
          <w:rFonts w:hint="eastAsia" w:asciiTheme="minorEastAsia" w:hAnsiTheme="minorEastAsia" w:eastAsiaTheme="minorEastAsia" w:cstheme="minorEastAsia"/>
          <w:sz w:val="22"/>
        </w:rPr>
        <w:t>：</w:t>
      </w:r>
    </w:p>
    <w:p w14:paraId="37466AD3">
      <w:pPr>
        <w:numPr>
          <w:numId w:val="0"/>
        </w:numPr>
        <w:spacing w:before="120" w:after="120" w:line="288" w:lineRule="auto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财务内部收益率（FIRR）：12.36%</w:t>
      </w:r>
    </w:p>
    <w:p w14:paraId="0FF73541">
      <w:pPr>
        <w:numPr>
          <w:numId w:val="0"/>
        </w:numPr>
        <w:spacing w:before="120" w:after="120" w:line="288" w:lineRule="auto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财务净现值（FNPV，ic=8%）：6792.45万元</w:t>
      </w:r>
    </w:p>
    <w:p w14:paraId="1EE905E0">
      <w:pPr>
        <w:numPr>
          <w:numId w:val="0"/>
        </w:numPr>
        <w:spacing w:before="120" w:after="120" w:line="288" w:lineRule="auto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投资回收期（Pt）：约5.5年（含建设期）</w:t>
      </w:r>
    </w:p>
    <w:p w14:paraId="5D2E7871">
      <w:pPr>
        <w:numPr>
          <w:numId w:val="0"/>
        </w:numPr>
        <w:spacing w:before="120" w:after="120" w:line="288" w:lineRule="auto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现金流入</w:t>
      </w:r>
      <w:r>
        <w:rPr>
          <w:rFonts w:hint="eastAsia" w:asciiTheme="minorEastAsia" w:hAnsiTheme="minorEastAsia" w:eastAsiaTheme="minorEastAsia" w:cstheme="minorEastAsia"/>
          <w:sz w:val="22"/>
        </w:rPr>
        <w:t>：合计45384.26万元，包括租赁收入35750万元、出售收入9000万元、回收固定资产余值534.26万元、回收流动资金100万元</w:t>
      </w:r>
    </w:p>
    <w:p w14:paraId="031E2E47">
      <w:pPr>
        <w:numPr>
          <w:numId w:val="0"/>
        </w:numPr>
        <w:spacing w:before="120" w:after="120" w:line="288" w:lineRule="auto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现金流出</w:t>
      </w:r>
      <w:r>
        <w:rPr>
          <w:rFonts w:hint="eastAsia" w:asciiTheme="minorEastAsia" w:hAnsiTheme="minorEastAsia" w:eastAsiaTheme="minorEastAsia" w:cstheme="minorEastAsia"/>
          <w:sz w:val="22"/>
        </w:rPr>
        <w:t>：合计25606.27万元，包括建设投资11693.46万元、流动资金投资100万元、经营成本6748.05万元、营业税金及附加1984.13万元、所得税5080.63万元</w:t>
      </w:r>
    </w:p>
    <w:p w14:paraId="540481B2">
      <w:pPr>
        <w:numPr>
          <w:numId w:val="0"/>
        </w:numPr>
        <w:spacing w:before="120" w:after="120" w:line="288" w:lineRule="auto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分析结论</w:t>
      </w:r>
      <w:r>
        <w:rPr>
          <w:rFonts w:hint="eastAsia" w:asciiTheme="minorEastAsia" w:hAnsiTheme="minorEastAsia" w:eastAsiaTheme="minorEastAsia" w:cstheme="minorEastAsia"/>
          <w:sz w:val="22"/>
        </w:rPr>
        <w:t>：项目投资FIRR（12.36%）高于基准收益率8%，FNPV为正值，表明项目整体盈利能力良好，投资回报超过预期，财务可行性强。</w:t>
      </w:r>
    </w:p>
    <w:p w14:paraId="3828C50C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11" w:name="heading_11"/>
      <w:r>
        <w:rPr>
          <w:rFonts w:hint="eastAsia" w:asciiTheme="minorEastAsia" w:hAnsiTheme="minorEastAsia" w:eastAsiaTheme="minorEastAsia" w:cstheme="minorEastAsia"/>
          <w:b/>
          <w:sz w:val="30"/>
        </w:rPr>
        <w:t>3.2 资本金现金流量表分析</w:t>
      </w:r>
      <w:bookmarkEnd w:id="11"/>
    </w:p>
    <w:p w14:paraId="69F4C124">
      <w:pPr>
        <w:numPr>
          <w:numId w:val="0"/>
        </w:numPr>
        <w:spacing w:before="120" w:after="120" w:line="288" w:lineRule="auto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核心指标</w:t>
      </w:r>
      <w:r>
        <w:rPr>
          <w:rFonts w:hint="eastAsia" w:asciiTheme="minorEastAsia" w:hAnsiTheme="minorEastAsia" w:eastAsiaTheme="minorEastAsia" w:cstheme="minorEastAsia"/>
          <w:sz w:val="22"/>
        </w:rPr>
        <w:t>：资本金财务内部收益率（FIRR）：15.78%</w:t>
      </w:r>
    </w:p>
    <w:p w14:paraId="1D5DC4AA">
      <w:pPr>
        <w:numPr>
          <w:numId w:val="0"/>
        </w:numPr>
        <w:spacing w:before="120" w:after="120" w:line="288" w:lineRule="auto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现金流入</w:t>
      </w:r>
      <w:r>
        <w:rPr>
          <w:rFonts w:hint="eastAsia" w:asciiTheme="minorEastAsia" w:hAnsiTheme="minorEastAsia" w:eastAsiaTheme="minorEastAsia" w:cstheme="minorEastAsia"/>
          <w:sz w:val="22"/>
        </w:rPr>
        <w:t>：合计44750万元，与项目投资现金流量表营业收入一致</w:t>
      </w:r>
    </w:p>
    <w:p w14:paraId="75CE1871">
      <w:pPr>
        <w:numPr>
          <w:numId w:val="0"/>
        </w:numPr>
        <w:spacing w:before="120" w:after="120" w:line="288" w:lineRule="auto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现金流出</w:t>
      </w:r>
      <w:r>
        <w:rPr>
          <w:rFonts w:hint="eastAsia" w:asciiTheme="minorEastAsia" w:hAnsiTheme="minorEastAsia" w:eastAsiaTheme="minorEastAsia" w:cstheme="minorEastAsia"/>
          <w:sz w:val="22"/>
        </w:rPr>
        <w:t>：合计29116.06万元，包括资本金投入4781.46万元、借款本金偿还100万元、借款利息支付4535.77万元、经营成本16867.2万元、税金合计11622.28万元</w:t>
      </w:r>
    </w:p>
    <w:p w14:paraId="4CDE9567">
      <w:pPr>
        <w:numPr>
          <w:numId w:val="0"/>
        </w:numPr>
        <w:spacing w:before="120" w:after="120" w:line="288" w:lineRule="auto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净现金流量</w:t>
      </w:r>
      <w:r>
        <w:rPr>
          <w:rFonts w:hint="eastAsia" w:asciiTheme="minorEastAsia" w:hAnsiTheme="minorEastAsia" w:eastAsiaTheme="minorEastAsia" w:cstheme="minorEastAsia"/>
          <w:sz w:val="22"/>
        </w:rPr>
        <w:t>：累计净现金流量32050.52万元，折现后累计净现金流量表现良好</w:t>
      </w:r>
    </w:p>
    <w:p w14:paraId="3B96D612">
      <w:pPr>
        <w:numPr>
          <w:numId w:val="0"/>
        </w:numPr>
        <w:spacing w:before="120" w:after="120" w:line="288" w:lineRule="auto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分析结论</w:t>
      </w:r>
      <w:r>
        <w:rPr>
          <w:rFonts w:hint="eastAsia" w:asciiTheme="minorEastAsia" w:hAnsiTheme="minorEastAsia" w:eastAsiaTheme="minorEastAsia" w:cstheme="minorEastAsia"/>
          <w:sz w:val="22"/>
        </w:rPr>
        <w:t>：资本金FIRR（15.78%）显著高于项目投资FIRR，财务杠杆效应明显，自有资金投资回报率优异，能为投资者带来超额收益。</w:t>
      </w:r>
    </w:p>
    <w:p w14:paraId="0D7BF492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12" w:name="heading_12"/>
      <w:r>
        <w:rPr>
          <w:rFonts w:hint="eastAsia" w:asciiTheme="minorEastAsia" w:hAnsiTheme="minorEastAsia" w:eastAsiaTheme="minorEastAsia" w:cstheme="minorEastAsia"/>
          <w:b/>
          <w:sz w:val="30"/>
        </w:rPr>
        <w:t>3.3 利润与利润分配表分析</w:t>
      </w:r>
      <w:bookmarkEnd w:id="12"/>
    </w:p>
    <w:p w14:paraId="0747258B">
      <w:pPr>
        <w:numPr>
          <w:numId w:val="0"/>
        </w:numPr>
        <w:spacing w:before="120" w:after="120" w:line="288" w:lineRule="auto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利润构成</w:t>
      </w:r>
      <w:r>
        <w:rPr>
          <w:rFonts w:hint="eastAsia" w:asciiTheme="minorEastAsia" w:hAnsiTheme="minorEastAsia" w:eastAsiaTheme="minorEastAsia" w:cstheme="minorEastAsia"/>
          <w:sz w:val="22"/>
        </w:rPr>
        <w:t>：</w:t>
      </w:r>
    </w:p>
    <w:p w14:paraId="6FD5786E">
      <w:pPr>
        <w:numPr>
          <w:numId w:val="0"/>
        </w:numPr>
        <w:spacing w:before="120" w:after="120" w:line="288" w:lineRule="auto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正常年份（2019-2023年）营业收入1950万元，总成本费用825.54万元，营业税金及附加342.23万元，利润总额782.23万元</w:t>
      </w:r>
    </w:p>
    <w:p w14:paraId="21477B12">
      <w:pPr>
        <w:numPr>
          <w:numId w:val="0"/>
        </w:numPr>
        <w:spacing w:before="120" w:after="120" w:line="288" w:lineRule="auto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2029年出售环节利润总额8494.54万元</w:t>
      </w:r>
    </w:p>
    <w:p w14:paraId="27BFF8E6">
      <w:pPr>
        <w:numPr>
          <w:numId w:val="0"/>
        </w:numPr>
        <w:spacing w:before="120" w:after="120" w:line="288" w:lineRule="auto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所得税缴纳</w:t>
      </w:r>
      <w:r>
        <w:rPr>
          <w:rFonts w:hint="eastAsia" w:asciiTheme="minorEastAsia" w:hAnsiTheme="minorEastAsia" w:eastAsiaTheme="minorEastAsia" w:cstheme="minorEastAsia"/>
          <w:sz w:val="22"/>
        </w:rPr>
        <w:t>：合计5080.63万元，正常年份年缴约200万元，2029年缴纳1698.91万元</w:t>
      </w:r>
    </w:p>
    <w:p w14:paraId="30F0F371">
      <w:pPr>
        <w:numPr>
          <w:numId w:val="0"/>
        </w:numPr>
        <w:spacing w:before="120" w:after="120" w:line="288" w:lineRule="auto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净利润</w:t>
      </w:r>
      <w:r>
        <w:rPr>
          <w:rFonts w:hint="eastAsia" w:asciiTheme="minorEastAsia" w:hAnsiTheme="minorEastAsia" w:eastAsiaTheme="minorEastAsia" w:cstheme="minorEastAsia"/>
          <w:sz w:val="22"/>
        </w:rPr>
        <w:t>：合计3413.91万元，运营期逐年稳定，期末出售环节贡献大额利润</w:t>
      </w:r>
    </w:p>
    <w:p w14:paraId="07E84298">
      <w:pPr>
        <w:numPr>
          <w:numId w:val="0"/>
        </w:numPr>
        <w:spacing w:before="120" w:after="120" w:line="288" w:lineRule="auto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利润分配</w:t>
      </w:r>
      <w:r>
        <w:rPr>
          <w:rFonts w:hint="eastAsia" w:asciiTheme="minorEastAsia" w:hAnsiTheme="minorEastAsia" w:eastAsiaTheme="minorEastAsia" w:cstheme="minorEastAsia"/>
          <w:sz w:val="22"/>
        </w:rPr>
        <w:t>：还款期间不提取盈余公积，贷款还清后按税后利润10%提取法定盈余公积，累计提取341.39万元</w:t>
      </w:r>
    </w:p>
    <w:p w14:paraId="7BE1F405">
      <w:pPr>
        <w:numPr>
          <w:numId w:val="0"/>
        </w:numPr>
        <w:spacing w:before="120" w:after="120" w:line="288" w:lineRule="auto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投资利润率</w:t>
      </w:r>
      <w:r>
        <w:rPr>
          <w:rFonts w:hint="eastAsia" w:asciiTheme="minorEastAsia" w:hAnsiTheme="minorEastAsia" w:eastAsiaTheme="minorEastAsia" w:cstheme="minorEastAsia"/>
          <w:sz w:val="22"/>
        </w:rPr>
        <w:t>：6.63%（基于正常年份利润总额782.23万元÷总投资11793.46万元×100%）</w:t>
      </w:r>
    </w:p>
    <w:p w14:paraId="399B1121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13" w:name="heading_13"/>
      <w:r>
        <w:rPr>
          <w:rFonts w:hint="eastAsia" w:asciiTheme="minorEastAsia" w:hAnsiTheme="minorEastAsia" w:eastAsiaTheme="minorEastAsia" w:cstheme="minorEastAsia"/>
          <w:b/>
          <w:sz w:val="30"/>
        </w:rPr>
        <w:t>3.4 财务计划现金流量表分析</w:t>
      </w:r>
      <w:bookmarkEnd w:id="13"/>
    </w:p>
    <w:p w14:paraId="34395F9B">
      <w:pPr>
        <w:numPr>
          <w:numId w:val="0"/>
        </w:numPr>
        <w:spacing w:before="120" w:after="120" w:line="288" w:lineRule="auto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经营活动现金流量</w:t>
      </w:r>
      <w:r>
        <w:rPr>
          <w:rFonts w:hint="eastAsia" w:asciiTheme="minorEastAsia" w:hAnsiTheme="minorEastAsia" w:eastAsiaTheme="minorEastAsia" w:cstheme="minorEastAsia"/>
          <w:sz w:val="22"/>
        </w:rPr>
        <w:t>：合计46734.13万元，运营期现金流入持续覆盖流出，资金盈余稳定</w:t>
      </w:r>
    </w:p>
    <w:p w14:paraId="09AA685E">
      <w:pPr>
        <w:numPr>
          <w:numId w:val="0"/>
        </w:numPr>
        <w:spacing w:before="120" w:after="120" w:line="288" w:lineRule="auto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投资活动现金流量</w:t>
      </w:r>
      <w:r>
        <w:rPr>
          <w:rFonts w:hint="eastAsia" w:asciiTheme="minorEastAsia" w:hAnsiTheme="minorEastAsia" w:eastAsiaTheme="minorEastAsia" w:cstheme="minorEastAsia"/>
          <w:sz w:val="22"/>
        </w:rPr>
        <w:t>：-1050万元（建设期投资支出），2029年回收固定资产余值及流动资金634.26万元</w:t>
      </w:r>
    </w:p>
    <w:p w14:paraId="3DF86E74">
      <w:pPr>
        <w:numPr>
          <w:numId w:val="0"/>
        </w:numPr>
        <w:spacing w:before="120" w:after="120" w:line="288" w:lineRule="auto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筹资活动现金流量</w:t>
      </w:r>
      <w:r>
        <w:rPr>
          <w:rFonts w:hint="eastAsia" w:asciiTheme="minorEastAsia" w:hAnsiTheme="minorEastAsia" w:eastAsiaTheme="minorEastAsia" w:cstheme="minorEastAsia"/>
          <w:sz w:val="22"/>
        </w:rPr>
        <w:t>：-4535.77万元（借款本息偿还），建设期筹资流入覆盖投资需求</w:t>
      </w:r>
    </w:p>
    <w:p w14:paraId="18E13915">
      <w:pPr>
        <w:numPr>
          <w:numId w:val="0"/>
        </w:numPr>
        <w:spacing w:before="120" w:after="120" w:line="288" w:lineRule="auto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累计净现金流量</w:t>
      </w:r>
      <w:r>
        <w:rPr>
          <w:rFonts w:hint="eastAsia" w:asciiTheme="minorEastAsia" w:hAnsiTheme="minorEastAsia" w:eastAsiaTheme="minorEastAsia" w:cstheme="minorEastAsia"/>
          <w:sz w:val="22"/>
        </w:rPr>
        <w:t>：68881.74万元，项目计算期内各年累计盈余资金均为正值</w:t>
      </w:r>
    </w:p>
    <w:p w14:paraId="2C7C895E">
      <w:pPr>
        <w:numPr>
          <w:numId w:val="0"/>
        </w:numPr>
        <w:spacing w:before="120" w:after="120" w:line="288" w:lineRule="auto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分析结论</w:t>
      </w:r>
      <w:r>
        <w:rPr>
          <w:rFonts w:hint="eastAsia" w:asciiTheme="minorEastAsia" w:hAnsiTheme="minorEastAsia" w:eastAsiaTheme="minorEastAsia" w:cstheme="minorEastAsia"/>
          <w:sz w:val="22"/>
        </w:rPr>
        <w:t>：项目资金链安全，财务生存能力强，建设期资金筹措充足，运营期现金流持续盈余，能够保障借款本息偿还和项目持续运营。</w:t>
      </w:r>
    </w:p>
    <w:p w14:paraId="78869670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14" w:name="heading_14"/>
      <w:r>
        <w:rPr>
          <w:rFonts w:hint="eastAsia" w:asciiTheme="minorEastAsia" w:hAnsiTheme="minorEastAsia" w:eastAsiaTheme="minorEastAsia" w:cstheme="minorEastAsia"/>
          <w:b/>
          <w:sz w:val="30"/>
        </w:rPr>
        <w:t>3.5 资产负债表分析</w:t>
      </w:r>
      <w:bookmarkEnd w:id="14"/>
    </w:p>
    <w:p w14:paraId="76D0C6E5">
      <w:pPr>
        <w:numPr>
          <w:numId w:val="0"/>
        </w:numPr>
        <w:spacing w:before="120" w:after="120" w:line="288" w:lineRule="auto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资产结构</w:t>
      </w:r>
      <w:r>
        <w:rPr>
          <w:rFonts w:hint="eastAsia" w:asciiTheme="minorEastAsia" w:hAnsiTheme="minorEastAsia" w:eastAsiaTheme="minorEastAsia" w:cstheme="minorEastAsia"/>
          <w:sz w:val="22"/>
        </w:rPr>
        <w:t>：</w:t>
      </w:r>
    </w:p>
    <w:p w14:paraId="012E5627">
      <w:pPr>
        <w:numPr>
          <w:numId w:val="0"/>
        </w:numPr>
        <w:spacing w:before="120" w:after="120" w:line="288" w:lineRule="auto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资产总计：建设期逐年增长至11693.46万元，运营期随折旧计提逐年下降，2029年为1108.8万元</w:t>
      </w:r>
    </w:p>
    <w:p w14:paraId="27518B65">
      <w:pPr>
        <w:numPr>
          <w:numId w:val="0"/>
        </w:numPr>
        <w:spacing w:before="120" w:after="120" w:line="288" w:lineRule="auto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流动资产：维持100万元（流动资金）</w:t>
      </w:r>
    </w:p>
    <w:p w14:paraId="0226C8A8">
      <w:pPr>
        <w:numPr>
          <w:numId w:val="0"/>
        </w:numPr>
        <w:spacing w:before="120" w:after="120" w:line="288" w:lineRule="auto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固定资产净值：2009年10993.46万元，逐年递减505.46万元</w:t>
      </w:r>
    </w:p>
    <w:p w14:paraId="2E249F16">
      <w:pPr>
        <w:numPr>
          <w:numId w:val="0"/>
        </w:numPr>
        <w:spacing w:before="120" w:after="120" w:line="288" w:lineRule="auto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负债结构</w:t>
      </w:r>
      <w:r>
        <w:rPr>
          <w:rFonts w:hint="eastAsia" w:asciiTheme="minorEastAsia" w:hAnsiTheme="minorEastAsia" w:eastAsiaTheme="minorEastAsia" w:cstheme="minorEastAsia"/>
          <w:sz w:val="22"/>
        </w:rPr>
        <w:t>：</w:t>
      </w:r>
    </w:p>
    <w:p w14:paraId="130ADCAF">
      <w:pPr>
        <w:numPr>
          <w:numId w:val="0"/>
        </w:numPr>
        <w:spacing w:before="120" w:after="120" w:line="288" w:lineRule="auto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负债总计：建设期达7014.63万元，运营期逐年偿还借款，2029年降至0</w:t>
      </w:r>
    </w:p>
    <w:p w14:paraId="110C14E7">
      <w:pPr>
        <w:numPr>
          <w:numId w:val="0"/>
        </w:numPr>
        <w:spacing w:before="120" w:after="120" w:line="288" w:lineRule="auto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资产负债率：建设期约60%，运营期逐步下降，2029年为0，财务风险持续降低</w:t>
      </w:r>
    </w:p>
    <w:p w14:paraId="40C2B253">
      <w:pPr>
        <w:numPr>
          <w:numId w:val="0"/>
        </w:numPr>
        <w:spacing w:before="120" w:after="120" w:line="288" w:lineRule="auto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所有者权益</w:t>
      </w:r>
      <w:r>
        <w:rPr>
          <w:rFonts w:hint="eastAsia" w:asciiTheme="minorEastAsia" w:hAnsiTheme="minorEastAsia" w:eastAsiaTheme="minorEastAsia" w:cstheme="minorEastAsia"/>
          <w:sz w:val="22"/>
        </w:rPr>
        <w:t>：逐年增长至9634.26万元，包括资本金、累计未分配利润和盈余公积</w:t>
      </w:r>
    </w:p>
    <w:p w14:paraId="44824389">
      <w:pPr>
        <w:numPr>
          <w:numId w:val="0"/>
        </w:numPr>
        <w:spacing w:before="120" w:after="120" w:line="288" w:lineRule="auto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偿债能力指标</w:t>
      </w:r>
      <w:r>
        <w:rPr>
          <w:rFonts w:hint="eastAsia" w:asciiTheme="minorEastAsia" w:hAnsiTheme="minorEastAsia" w:eastAsiaTheme="minorEastAsia" w:cstheme="minorEastAsia"/>
          <w:sz w:val="22"/>
        </w:rPr>
        <w:t>：流动比率2009年为125%，短期偿债能力良好；资产负债率持续优化，长期偿债能力较强</w:t>
      </w:r>
    </w:p>
    <w:p w14:paraId="58D55359">
      <w:pPr>
        <w:numPr>
          <w:numId w:val="0"/>
        </w:numPr>
        <w:spacing w:before="120" w:after="120" w:line="288" w:lineRule="auto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分析结论</w:t>
      </w:r>
      <w:r>
        <w:rPr>
          <w:rFonts w:hint="eastAsia" w:asciiTheme="minorEastAsia" w:hAnsiTheme="minorEastAsia" w:eastAsiaTheme="minorEastAsia" w:cstheme="minorEastAsia"/>
          <w:sz w:val="22"/>
        </w:rPr>
        <w:t>：项目资产负债结构合理，负债水平可控，偿债能力随运营推进不断增强，财务风险较低。</w:t>
      </w:r>
    </w:p>
    <w:p w14:paraId="362D173C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15" w:name="heading_15"/>
      <w:r>
        <w:rPr>
          <w:rFonts w:hint="eastAsia" w:asciiTheme="minorEastAsia" w:hAnsiTheme="minorEastAsia" w:eastAsiaTheme="minorEastAsia" w:cstheme="minorEastAsia"/>
          <w:b/>
          <w:sz w:val="32"/>
        </w:rPr>
        <w:t>四、不确定性分析</w:t>
      </w:r>
      <w:bookmarkEnd w:id="15"/>
    </w:p>
    <w:p w14:paraId="02993C51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16" w:name="heading_16"/>
      <w:r>
        <w:rPr>
          <w:rFonts w:hint="eastAsia" w:asciiTheme="minorEastAsia" w:hAnsiTheme="minorEastAsia" w:eastAsiaTheme="minorEastAsia" w:cstheme="minorEastAsia"/>
          <w:b/>
          <w:sz w:val="30"/>
        </w:rPr>
        <w:t>4.1 敏感性分析</w:t>
      </w:r>
      <w:bookmarkEnd w:id="16"/>
    </w:p>
    <w:p w14:paraId="42593CB4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选取建设投资、经营成本、产品售价（租赁收入）三个关键因素，在±10%、±20%范围内变动，分析对项目投资FIRR和FNPV的影响。</w:t>
      </w:r>
    </w:p>
    <w:p w14:paraId="5D62AC48">
      <w:pPr>
        <w:spacing w:before="260" w:after="120" w:line="288" w:lineRule="auto"/>
        <w:ind w:left="0"/>
        <w:jc w:val="left"/>
        <w:outlineLvl w:val="3"/>
        <w:rPr>
          <w:rFonts w:hint="eastAsia" w:asciiTheme="minorEastAsia" w:hAnsiTheme="minorEastAsia" w:eastAsiaTheme="minorEastAsia" w:cstheme="minorEastAsia"/>
        </w:rPr>
      </w:pPr>
      <w:bookmarkStart w:id="17" w:name="heading_17"/>
      <w:r>
        <w:rPr>
          <w:rFonts w:hint="eastAsia" w:asciiTheme="minorEastAsia" w:hAnsiTheme="minorEastAsia" w:eastAsiaTheme="minorEastAsia" w:cstheme="minorEastAsia"/>
          <w:b/>
          <w:sz w:val="28"/>
        </w:rPr>
        <w:t>4.1.1 敏感性分析结果</w:t>
      </w:r>
      <w:bookmarkEnd w:id="17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0"/>
        <w:gridCol w:w="1380"/>
        <w:gridCol w:w="1380"/>
        <w:gridCol w:w="1380"/>
        <w:gridCol w:w="1380"/>
        <w:gridCol w:w="1380"/>
      </w:tblGrid>
      <w:tr w14:paraId="3E93309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20D952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变动因素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5708DB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变动幅度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0A0837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项目投资FIRR（%）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A22F55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FIRR变动幅度（%）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682811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项目投资FNPV（万元）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5240A7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FNPV变动幅度（%）</w:t>
            </w:r>
          </w:p>
        </w:tc>
      </w:tr>
      <w:tr w14:paraId="1659ECD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13D5C5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基准方案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ABB11B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0%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FA9151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12.36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9C45E1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0.00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5F6E4E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6792.45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42FC05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0.00</w:t>
            </w:r>
          </w:p>
        </w:tc>
      </w:tr>
      <w:tr w14:paraId="0B5B7F7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112B23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建设投资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F28E26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+10%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754675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10.85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3433B1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-1.51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CE9B32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5613.11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C05BA6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-19.99</w:t>
            </w:r>
          </w:p>
        </w:tc>
      </w:tr>
      <w:tr w14:paraId="1E67072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A3D731">
            <w:pPr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07161A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+20%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C927CF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9.48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20A2DB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-2.88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317A10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4433.77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1316D1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-39.99</w:t>
            </w:r>
          </w:p>
        </w:tc>
      </w:tr>
      <w:tr w14:paraId="23A5256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D9DA88">
            <w:pPr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5A9105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-10%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9F82C4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14.08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4A4A41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+1.72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9364A4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7971.79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280795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+19.99</w:t>
            </w:r>
          </w:p>
        </w:tc>
      </w:tr>
      <w:tr w14:paraId="626768A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E7C18B">
            <w:pPr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40CA72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-20%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20A886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15.98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27856A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+3.62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D0B9D7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9151.13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105FE9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+39.99</w:t>
            </w:r>
          </w:p>
        </w:tc>
      </w:tr>
      <w:tr w14:paraId="4EEBAE0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FFE746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经营成本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BC0834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+10%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AC219C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11.24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88E9E7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-1.12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4D2C26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5885.11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E6069C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-15.40</w:t>
            </w:r>
          </w:p>
        </w:tc>
      </w:tr>
      <w:tr w14:paraId="705F07D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0D8B73">
            <w:pPr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C2A57B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+20%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FA649C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10.18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00262C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-2.18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A699A3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4977.77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5FC56C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-30.80</w:t>
            </w:r>
          </w:p>
        </w:tc>
      </w:tr>
      <w:tr w14:paraId="7AE9269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67F124">
            <w:pPr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0C7FEB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-10%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B67038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13.58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32FE22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+1.22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477E17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7699.79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666C69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+15.40</w:t>
            </w:r>
          </w:p>
        </w:tc>
      </w:tr>
      <w:tr w14:paraId="37CC33E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967196">
            <w:pPr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741355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-20%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2FC2DF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14.90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57899A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+2.54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B6F0F2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8607.13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9ADA77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+30.80</w:t>
            </w:r>
          </w:p>
        </w:tc>
      </w:tr>
      <w:tr w14:paraId="35CF096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E2B2D4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租赁收入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8DCC92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+10%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D83B98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14.68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17678D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+2.32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5E8BE3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8545.11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49FE5C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+25.80</w:t>
            </w:r>
          </w:p>
        </w:tc>
      </w:tr>
      <w:tr w14:paraId="37256E5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BA1EC8">
            <w:pPr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C24DE5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+20%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C46459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17.18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30860C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+4.82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1C3EFA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10297.77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431952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+51.60</w:t>
            </w:r>
          </w:p>
        </w:tc>
      </w:tr>
      <w:tr w14:paraId="2E77ABE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C59702">
            <w:pPr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D11B1D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-10%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909AB2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9.85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D9419C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-2.51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9838F2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5039.79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47D8E0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-25.80</w:t>
            </w:r>
          </w:p>
        </w:tc>
      </w:tr>
      <w:tr w14:paraId="759D18D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1EE572">
            <w:pPr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61D758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-20%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57B550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7.32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0F9306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-5.04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E5A456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3785.13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55C425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-51.60</w:t>
            </w:r>
          </w:p>
        </w:tc>
      </w:tr>
    </w:tbl>
    <w:p w14:paraId="41AFC258">
      <w:pPr>
        <w:spacing w:before="260" w:after="120" w:line="288" w:lineRule="auto"/>
        <w:ind w:left="0"/>
        <w:jc w:val="left"/>
        <w:outlineLvl w:val="3"/>
        <w:rPr>
          <w:rFonts w:hint="eastAsia" w:asciiTheme="minorEastAsia" w:hAnsiTheme="minorEastAsia" w:eastAsiaTheme="minorEastAsia" w:cstheme="minorEastAsia"/>
        </w:rPr>
      </w:pPr>
      <w:bookmarkStart w:id="18" w:name="heading_18"/>
      <w:r>
        <w:rPr>
          <w:rFonts w:hint="eastAsia" w:asciiTheme="minorEastAsia" w:hAnsiTheme="minorEastAsia" w:eastAsiaTheme="minorEastAsia" w:cstheme="minorEastAsia"/>
          <w:b/>
          <w:sz w:val="28"/>
        </w:rPr>
        <w:t>4.1.2 分析结论</w:t>
      </w:r>
      <w:bookmarkEnd w:id="18"/>
    </w:p>
    <w:p w14:paraId="012F2861">
      <w:pPr>
        <w:numPr>
          <w:numId w:val="0"/>
        </w:numPr>
        <w:spacing w:before="120" w:after="120" w:line="288" w:lineRule="auto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敏感因素排序</w:t>
      </w:r>
      <w:r>
        <w:rPr>
          <w:rFonts w:hint="eastAsia" w:asciiTheme="minorEastAsia" w:hAnsiTheme="minorEastAsia" w:eastAsiaTheme="minorEastAsia" w:cstheme="minorEastAsia"/>
          <w:sz w:val="22"/>
        </w:rPr>
        <w:t>：租赁收入 &gt; 经营成本 &gt; 建设投资</w:t>
      </w:r>
    </w:p>
    <w:p w14:paraId="14F28AC9">
      <w:pPr>
        <w:numPr>
          <w:numId w:val="0"/>
        </w:numPr>
        <w:spacing w:before="120" w:after="120" w:line="288" w:lineRule="auto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租赁收入对项目盈利能力影响最大，每变动10%，FIRR变动约2.32个百分点，FNPV变动25.80%，是项目核心风险点</w:t>
      </w:r>
    </w:p>
    <w:p w14:paraId="341ADBFD">
      <w:pPr>
        <w:numPr>
          <w:numId w:val="0"/>
        </w:numPr>
        <w:spacing w:before="120" w:after="120" w:line="288" w:lineRule="auto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经营成本影响次之，变动10%对应FIRR变动1.12-1.22个百分点</w:t>
      </w:r>
    </w:p>
    <w:p w14:paraId="6B81E365">
      <w:pPr>
        <w:numPr>
          <w:numId w:val="0"/>
        </w:numPr>
        <w:spacing w:before="120" w:after="120" w:line="288" w:lineRule="auto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建设投资影响相对较小，变动10%对应FIRR变动1.51-1.72个百分点</w:t>
      </w:r>
    </w:p>
    <w:p w14:paraId="0FCAC6D7">
      <w:pPr>
        <w:numPr>
          <w:numId w:val="0"/>
        </w:numPr>
        <w:spacing w:before="120" w:after="120" w:line="288" w:lineRule="auto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项目在各因素±10%变动范围内仍保持可行性，抗风险能力较强，但需重点关注租赁市场波动</w:t>
      </w:r>
    </w:p>
    <w:p w14:paraId="4921B2F8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19" w:name="heading_19"/>
      <w:r>
        <w:rPr>
          <w:rFonts w:hint="eastAsia" w:asciiTheme="minorEastAsia" w:hAnsiTheme="minorEastAsia" w:eastAsiaTheme="minorEastAsia" w:cstheme="minorEastAsia"/>
          <w:b/>
          <w:sz w:val="30"/>
        </w:rPr>
        <w:t>4.2 盈亏平衡分析</w:t>
      </w:r>
      <w:bookmarkEnd w:id="19"/>
    </w:p>
    <w:p w14:paraId="339A24BA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以运营期正常年份（2019-2023年）数据为基础，计算生产能力利用率和价格盈亏平衡点。</w:t>
      </w:r>
    </w:p>
    <w:p w14:paraId="1F04C76E">
      <w:pPr>
        <w:spacing w:before="260" w:after="120" w:line="288" w:lineRule="auto"/>
        <w:ind w:left="0"/>
        <w:jc w:val="left"/>
        <w:outlineLvl w:val="3"/>
        <w:rPr>
          <w:rFonts w:hint="eastAsia" w:asciiTheme="minorEastAsia" w:hAnsiTheme="minorEastAsia" w:eastAsiaTheme="minorEastAsia" w:cstheme="minorEastAsia"/>
        </w:rPr>
      </w:pPr>
      <w:bookmarkStart w:id="20" w:name="heading_20"/>
      <w:r>
        <w:rPr>
          <w:rFonts w:hint="eastAsia" w:asciiTheme="minorEastAsia" w:hAnsiTheme="minorEastAsia" w:eastAsiaTheme="minorEastAsia" w:cstheme="minorEastAsia"/>
          <w:b/>
          <w:sz w:val="28"/>
        </w:rPr>
        <w:t>4.2.1 基础数据</w:t>
      </w:r>
      <w:bookmarkEnd w:id="20"/>
    </w:p>
    <w:p w14:paraId="5305114A">
      <w:pPr>
        <w:numPr>
          <w:numId w:val="0"/>
        </w:numPr>
        <w:spacing w:before="120" w:after="120" w:line="288" w:lineRule="auto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正常年份营业收入：1950万元</w:t>
      </w:r>
    </w:p>
    <w:p w14:paraId="12AEF5D4">
      <w:pPr>
        <w:numPr>
          <w:numId w:val="0"/>
        </w:numPr>
        <w:spacing w:before="120" w:after="120" w:line="288" w:lineRule="auto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年固定成本（CF）：824.48万元（折旧+人工+大修+财务费用+其他费用）</w:t>
      </w:r>
    </w:p>
    <w:p w14:paraId="2E5BEEE1">
      <w:pPr>
        <w:numPr>
          <w:numId w:val="0"/>
        </w:numPr>
        <w:spacing w:before="120" w:after="120" w:line="288" w:lineRule="auto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年可变成本（CV）：1.06万元（维护保养费）</w:t>
      </w:r>
    </w:p>
    <w:p w14:paraId="092FC20C">
      <w:pPr>
        <w:numPr>
          <w:numId w:val="0"/>
        </w:numPr>
        <w:spacing w:before="120" w:after="120" w:line="288" w:lineRule="auto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单位可变成本（v）：0.000035万元/㎡·年（1.06万元÷30000㎡）</w:t>
      </w:r>
    </w:p>
    <w:p w14:paraId="07C7110C">
      <w:pPr>
        <w:spacing w:before="260" w:after="120" w:line="288" w:lineRule="auto"/>
        <w:ind w:left="0"/>
        <w:jc w:val="left"/>
        <w:outlineLvl w:val="3"/>
        <w:rPr>
          <w:rFonts w:hint="eastAsia" w:asciiTheme="minorEastAsia" w:hAnsiTheme="minorEastAsia" w:eastAsiaTheme="minorEastAsia" w:cstheme="minorEastAsia"/>
        </w:rPr>
      </w:pPr>
      <w:bookmarkStart w:id="21" w:name="heading_21"/>
      <w:r>
        <w:rPr>
          <w:rFonts w:hint="eastAsia" w:asciiTheme="minorEastAsia" w:hAnsiTheme="minorEastAsia" w:eastAsiaTheme="minorEastAsia" w:cstheme="minorEastAsia"/>
          <w:b/>
          <w:sz w:val="28"/>
        </w:rPr>
        <w:t>4.2.2 盈亏平衡点计算</w:t>
      </w:r>
      <w:bookmarkEnd w:id="21"/>
    </w:p>
    <w:p w14:paraId="7D5876B1">
      <w:pPr>
        <w:numPr>
          <w:numId w:val="0"/>
        </w:numPr>
        <w:spacing w:before="120" w:after="120" w:line="288" w:lineRule="auto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生产能力利用率BEP</w:t>
      </w:r>
      <w:r>
        <w:rPr>
          <w:rFonts w:hint="eastAsia" w:asciiTheme="minorEastAsia" w:hAnsiTheme="minorEastAsia" w:eastAsiaTheme="minorEastAsia" w:cstheme="minorEastAsia"/>
          <w:sz w:val="22"/>
        </w:rPr>
        <w:t>：</w:t>
      </w:r>
    </w:p>
    <w:p w14:paraId="7D9B934B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m:oMathPara>
        <m:oMath>
          <m:r>
            <m:rPr/>
            <w:rPr>
              <w:rFonts w:hint="eastAsia" w:ascii="Cambria Math" w:hAnsi="Cambria Math" w:eastAsiaTheme="minorEastAsia" w:cstheme="minorEastAsia"/>
            </w:rPr>
            <m:t>BEP(</m:t>
          </m:r>
          <m:r>
            <m:rPr>
              <m:sty m:val="p"/>
            </m:rPr>
            <w:rPr>
              <w:rFonts w:hint="eastAsia" w:ascii="Cambria Math" w:hAnsi="Cambria Math" w:eastAsiaTheme="minorEastAsia" w:cstheme="minorEastAsia"/>
            </w:rPr>
            <m:t>生产能力利用率</m:t>
          </m:r>
          <m:r>
            <m:rPr/>
            <w:rPr>
              <w:rFonts w:hint="eastAsia" w:ascii="Cambria Math" w:hAnsi="Cambria Math" w:eastAsiaTheme="minorEastAsia" w:cstheme="minorEastAsia"/>
            </w:rPr>
            <m:t>)=</m:t>
          </m:r>
          <m:f>
            <m:fPr>
              <m:ctrlPr>
                <w:rPr>
                  <w:rFonts w:hint="eastAsia" w:ascii="Cambria Math" w:hAnsi="Cambria Math" w:eastAsiaTheme="minorEastAsia" w:cstheme="minorEastAsia"/>
                  <w:i/>
                </w:rPr>
              </m:ctrlPr>
            </m:fPr>
            <m:num>
              <m:r>
                <m:rPr/>
                <w:rPr>
                  <w:rFonts w:hint="eastAsia" w:ascii="Cambria Math" w:hAnsi="Cambria Math" w:eastAsiaTheme="minorEastAsia" w:cstheme="minorEastAsia"/>
                </w:rPr>
                <m:t>824.48</m:t>
              </m:r>
              <m:ctrlPr>
                <w:rPr>
                  <w:rFonts w:hint="eastAsia" w:ascii="Cambria Math" w:hAnsi="Cambria Math" w:eastAsiaTheme="minorEastAsia" w:cstheme="minorEastAsia"/>
                </w:rPr>
              </m:ctrlPr>
            </m:num>
            <m:den>
              <m:r>
                <m:rPr/>
                <w:rPr>
                  <w:rFonts w:hint="eastAsia" w:ascii="Cambria Math" w:hAnsi="Cambria Math" w:eastAsiaTheme="minorEastAsia" w:cstheme="minorEastAsia"/>
                </w:rPr>
                <m:t>1950−1.06−1950</m:t>
              </m:r>
              <m:r>
                <m:rPr>
                  <m:sty m:val="p"/>
                </m:rPr>
                <w:rPr>
                  <w:rFonts w:hint="eastAsia" w:ascii="Cambria Math" w:hAnsi="Cambria Math" w:eastAsiaTheme="minorEastAsia" w:cstheme="minorEastAsia"/>
                </w:rPr>
                <m:t>×</m:t>
              </m:r>
              <m:r>
                <m:rPr/>
                <w:rPr>
                  <w:rFonts w:hint="eastAsia" w:ascii="Cambria Math" w:hAnsi="Cambria Math" w:eastAsiaTheme="minorEastAsia" w:cstheme="minorEastAsia"/>
                </w:rPr>
                <m:t>17.55%</m:t>
              </m:r>
              <m:ctrlPr>
                <w:rPr>
                  <w:rFonts w:hint="eastAsia" w:ascii="Cambria Math" w:hAnsi="Cambria Math" w:eastAsiaTheme="minorEastAsia" w:cstheme="minorEastAsia"/>
                </w:rPr>
              </m:ctrlPr>
            </m:den>
          </m:f>
          <m:r>
            <m:rPr>
              <m:sty m:val="p"/>
            </m:rPr>
            <w:rPr>
              <w:rFonts w:hint="eastAsia" w:ascii="Cambria Math" w:hAnsi="Cambria Math" w:eastAsiaTheme="minorEastAsia" w:cstheme="minorEastAsia"/>
            </w:rPr>
            <m:t>×</m:t>
          </m:r>
          <m:r>
            <m:rPr/>
            <w:rPr>
              <w:rFonts w:hint="eastAsia" w:ascii="Cambria Math" w:hAnsi="Cambria Math" w:eastAsiaTheme="minorEastAsia" w:cstheme="minorEastAsia"/>
            </w:rPr>
            <m:t>100%=42.38%</m:t>
          </m:r>
        </m:oMath>
      </m:oMathPara>
    </w:p>
    <w:p w14:paraId="63CD6321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表明项目只需达到42.38%的设计租赁能力即可实现盈亏平衡。</w:t>
      </w:r>
    </w:p>
    <w:p w14:paraId="5EB55CC8">
      <w:pPr>
        <w:numPr>
          <w:numId w:val="0"/>
        </w:numPr>
        <w:spacing w:before="120" w:after="120" w:line="288" w:lineRule="auto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价格盈亏平衡点</w:t>
      </w:r>
      <w:r>
        <w:rPr>
          <w:rFonts w:hint="eastAsia" w:asciiTheme="minorEastAsia" w:hAnsiTheme="minorEastAsia" w:eastAsiaTheme="minorEastAsia" w:cstheme="minorEastAsia"/>
          <w:sz w:val="22"/>
        </w:rPr>
        <w:t>：</w:t>
      </w:r>
    </w:p>
    <w:p w14:paraId="532D81E2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m:oMathPara>
        <m:oMath>
          <m:r>
            <m:rPr/>
            <w:rPr>
              <w:rFonts w:hint="eastAsia" w:ascii="Cambria Math" w:hAnsi="Cambria Math" w:eastAsiaTheme="minorEastAsia" w:cstheme="minorEastAsia"/>
            </w:rPr>
            <m:t>BEP(</m:t>
          </m:r>
          <m:r>
            <m:rPr>
              <m:sty m:val="p"/>
            </m:rPr>
            <w:rPr>
              <w:rFonts w:hint="eastAsia" w:ascii="Cambria Math" w:hAnsi="Cambria Math" w:eastAsiaTheme="minorEastAsia" w:cstheme="minorEastAsia"/>
            </w:rPr>
            <m:t>价格</m:t>
          </m:r>
          <m:r>
            <m:rPr/>
            <w:rPr>
              <w:rFonts w:hint="eastAsia" w:ascii="Cambria Math" w:hAnsi="Cambria Math" w:eastAsiaTheme="minorEastAsia" w:cstheme="minorEastAsia"/>
            </w:rPr>
            <m:t>)=</m:t>
          </m:r>
          <m:f>
            <m:fPr>
              <m:ctrlPr>
                <w:rPr>
                  <w:rFonts w:hint="eastAsia" w:ascii="Cambria Math" w:hAnsi="Cambria Math" w:eastAsiaTheme="minorEastAsia" w:cstheme="minorEastAsia"/>
                  <w:i/>
                </w:rPr>
              </m:ctrlPr>
            </m:fPr>
            <m:num>
              <m:r>
                <m:rPr/>
                <w:rPr>
                  <w:rFonts w:hint="eastAsia" w:ascii="Cambria Math" w:hAnsi="Cambria Math" w:eastAsiaTheme="minorEastAsia" w:cstheme="minorEastAsia"/>
                </w:rPr>
                <m:t>824.48+1.06</m:t>
              </m:r>
              <m:ctrlPr>
                <w:rPr>
                  <w:rFonts w:hint="eastAsia" w:ascii="Cambria Math" w:hAnsi="Cambria Math" w:eastAsiaTheme="minorEastAsia" w:cstheme="minorEastAsia"/>
                </w:rPr>
              </m:ctrlPr>
            </m:num>
            <m:den>
              <m:r>
                <m:rPr/>
                <w:rPr>
                  <w:rFonts w:hint="eastAsia" w:ascii="Cambria Math" w:hAnsi="Cambria Math" w:eastAsiaTheme="minorEastAsia" w:cstheme="minorEastAsia"/>
                </w:rPr>
                <m:t>30000</m:t>
              </m:r>
              <m:r>
                <m:rPr>
                  <m:sty m:val="p"/>
                </m:rPr>
                <w:rPr>
                  <w:rFonts w:hint="eastAsia" w:ascii="Cambria Math" w:hAnsi="Cambria Math" w:eastAsiaTheme="minorEastAsia" w:cstheme="minorEastAsia"/>
                </w:rPr>
                <m:t>×</m:t>
              </m:r>
              <m:r>
                <m:rPr/>
                <w:rPr>
                  <w:rFonts w:hint="eastAsia" w:ascii="Cambria Math" w:hAnsi="Cambria Math" w:eastAsiaTheme="minorEastAsia" w:cstheme="minorEastAsia"/>
                </w:rPr>
                <m:t>(1−17.55%)</m:t>
              </m:r>
              <m:ctrlPr>
                <w:rPr>
                  <w:rFonts w:hint="eastAsia" w:ascii="Cambria Math" w:hAnsi="Cambria Math" w:eastAsiaTheme="minorEastAsia" w:cstheme="minorEastAsia"/>
                </w:rPr>
              </m:ctrlPr>
            </m:den>
          </m:f>
          <m:r>
            <m:rPr/>
            <w:rPr>
              <w:rFonts w:hint="eastAsia" w:ascii="Cambria Math" w:hAnsi="Cambria Math" w:eastAsiaTheme="minorEastAsia" w:cstheme="minorEastAsia"/>
            </w:rPr>
            <m:t>=0.0276</m:t>
          </m:r>
          <m:r>
            <m:rPr>
              <m:sty m:val="p"/>
            </m:rPr>
            <w:rPr>
              <w:rFonts w:hint="eastAsia" w:ascii="Cambria Math" w:hAnsi="Cambria Math" w:eastAsiaTheme="minorEastAsia" w:cstheme="minorEastAsia"/>
            </w:rPr>
            <m:t>万元</m:t>
          </m:r>
          <m:r>
            <m:rPr/>
            <w:rPr>
              <w:rFonts w:hint="eastAsia" w:ascii="Cambria Math" w:hAnsi="Cambria Math" w:eastAsiaTheme="minorEastAsia" w:cstheme="minorEastAsia"/>
            </w:rPr>
            <m:t>/</m:t>
          </m:r>
          <m:r>
            <m:rPr>
              <m:sty m:val="p"/>
            </m:rPr>
            <w:rPr>
              <w:rFonts w:hint="eastAsia" w:ascii="Cambria Math" w:hAnsi="Cambria Math" w:eastAsiaTheme="minorEastAsia" w:cstheme="minorEastAsia"/>
            </w:rPr>
            <m:t>㎡·年</m:t>
          </m:r>
        </m:oMath>
      </m:oMathPara>
    </w:p>
    <w:p w14:paraId="13081DA6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表明在租赁率100%情况下，单位租金降至0.0276万元/㎡·年仍可盈亏平衡。</w:t>
      </w:r>
    </w:p>
    <w:p w14:paraId="2146B74D">
      <w:pPr>
        <w:numPr>
          <w:numId w:val="0"/>
        </w:numPr>
        <w:spacing w:before="120" w:after="120" w:line="288" w:lineRule="auto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盈亏平衡租赁收入</w:t>
      </w:r>
      <w:r>
        <w:rPr>
          <w:rFonts w:hint="eastAsia" w:asciiTheme="minorEastAsia" w:hAnsiTheme="minorEastAsia" w:eastAsiaTheme="minorEastAsia" w:cstheme="minorEastAsia"/>
          <w:sz w:val="22"/>
        </w:rPr>
        <w:t>：1950×42.38% = 826.41万元</w:t>
      </w:r>
    </w:p>
    <w:p w14:paraId="1F021E5F">
      <w:pPr>
        <w:spacing w:before="260" w:after="120" w:line="288" w:lineRule="auto"/>
        <w:ind w:left="0"/>
        <w:jc w:val="left"/>
        <w:outlineLvl w:val="3"/>
        <w:rPr>
          <w:rFonts w:hint="eastAsia" w:asciiTheme="minorEastAsia" w:hAnsiTheme="minorEastAsia" w:eastAsiaTheme="minorEastAsia" w:cstheme="minorEastAsia"/>
        </w:rPr>
      </w:pPr>
      <w:bookmarkStart w:id="22" w:name="heading_22"/>
      <w:r>
        <w:rPr>
          <w:rFonts w:hint="eastAsia" w:asciiTheme="minorEastAsia" w:hAnsiTheme="minorEastAsia" w:eastAsiaTheme="minorEastAsia" w:cstheme="minorEastAsia"/>
          <w:b/>
          <w:sz w:val="28"/>
        </w:rPr>
        <w:t>4.2.3 分析结论</w:t>
      </w:r>
      <w:bookmarkEnd w:id="22"/>
    </w:p>
    <w:p w14:paraId="1822CC82">
      <w:pPr>
        <w:numPr>
          <w:numId w:val="0"/>
        </w:numPr>
        <w:spacing w:before="120" w:after="120" w:line="288" w:lineRule="auto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生产能力利用率盈亏平衡点仅42.38%，远低于100%设计能力，项目抗市场波动能力强</w:t>
      </w:r>
    </w:p>
    <w:p w14:paraId="339915C2">
      <w:pPr>
        <w:numPr>
          <w:numId w:val="0"/>
        </w:numPr>
        <w:spacing w:before="120" w:after="120" w:line="288" w:lineRule="auto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价格盈亏平衡点（0.0276万元/㎡·年）远低于当前实际单位租金（0.065万元/㎡·年），盈利空间充足</w:t>
      </w:r>
    </w:p>
    <w:p w14:paraId="39ECDC5F">
      <w:pPr>
        <w:numPr>
          <w:numId w:val="0"/>
        </w:numPr>
        <w:spacing w:before="120" w:after="120" w:line="288" w:lineRule="auto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即使在市场环境不利、租赁率或租金大幅下降的情况下，项目仍具备较强的生存能力</w:t>
      </w:r>
    </w:p>
    <w:p w14:paraId="3FC71A74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23" w:name="heading_23"/>
      <w:r>
        <w:rPr>
          <w:rFonts w:hint="eastAsia" w:asciiTheme="minorEastAsia" w:hAnsiTheme="minorEastAsia" w:eastAsiaTheme="minorEastAsia" w:cstheme="minorEastAsia"/>
          <w:b/>
          <w:sz w:val="32"/>
        </w:rPr>
        <w:t>五、财务评价结论与建议</w:t>
      </w:r>
      <w:bookmarkEnd w:id="23"/>
    </w:p>
    <w:p w14:paraId="3B406432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24" w:name="heading_24"/>
      <w:r>
        <w:rPr>
          <w:rFonts w:hint="eastAsia" w:asciiTheme="minorEastAsia" w:hAnsiTheme="minorEastAsia" w:eastAsiaTheme="minorEastAsia" w:cstheme="minorEastAsia"/>
          <w:b/>
          <w:sz w:val="30"/>
        </w:rPr>
        <w:t>5.1 财务评价结论</w:t>
      </w:r>
      <w:bookmarkEnd w:id="24"/>
    </w:p>
    <w:p w14:paraId="522AED9C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综合各项财务分析，东方大厦建设项目具备以下核心优势，财务可行性强：</w:t>
      </w:r>
    </w:p>
    <w:p w14:paraId="4BD406A5">
      <w:pPr>
        <w:numPr>
          <w:numId w:val="0"/>
        </w:numPr>
        <w:spacing w:before="120" w:after="120" w:line="288" w:lineRule="auto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  <w:lang w:val="en-US" w:eastAsia="zh-CN"/>
        </w:rPr>
        <w:t>1.</w:t>
      </w:r>
      <w:r>
        <w:rPr>
          <w:rFonts w:hint="eastAsia" w:asciiTheme="minorEastAsia" w:hAnsiTheme="minorEastAsia" w:eastAsiaTheme="minorEastAsia" w:cstheme="minorEastAsia"/>
          <w:b/>
          <w:sz w:val="22"/>
        </w:rPr>
        <w:t>盈利能力优异</w:t>
      </w:r>
      <w:r>
        <w:rPr>
          <w:rFonts w:hint="eastAsia" w:asciiTheme="minorEastAsia" w:hAnsiTheme="minorEastAsia" w:eastAsiaTheme="minorEastAsia" w:cstheme="minorEastAsia"/>
          <w:sz w:val="22"/>
        </w:rPr>
        <w:t>：项目投资FIRR（12.36%）和资本金FIRR（15.78%）均显著高于8%的基准收益率，FNPV达6792.45万元，正常年份投资利润率6.63%，盈利水平稳定且超额满足预期。</w:t>
      </w:r>
    </w:p>
    <w:p w14:paraId="30093D07">
      <w:pPr>
        <w:numPr>
          <w:numId w:val="0"/>
        </w:numPr>
        <w:spacing w:before="120" w:after="120" w:line="288" w:lineRule="auto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  <w:lang w:val="en-US" w:eastAsia="zh-CN"/>
        </w:rPr>
        <w:t>2.</w:t>
      </w:r>
      <w:r>
        <w:rPr>
          <w:rFonts w:hint="eastAsia" w:asciiTheme="minorEastAsia" w:hAnsiTheme="minorEastAsia" w:eastAsiaTheme="minorEastAsia" w:cstheme="minorEastAsia"/>
          <w:b/>
          <w:sz w:val="22"/>
        </w:rPr>
        <w:t>偿债能力可靠</w:t>
      </w:r>
      <w:r>
        <w:rPr>
          <w:rFonts w:hint="eastAsia" w:asciiTheme="minorEastAsia" w:hAnsiTheme="minorEastAsia" w:eastAsiaTheme="minorEastAsia" w:cstheme="minorEastAsia"/>
          <w:sz w:val="22"/>
        </w:rPr>
        <w:t>：资产负债率从建设期60%逐步降至0，流动比率保持合理水平，借款本息偿还计划与现金流匹配，长期和短期偿债能力均有保障。</w:t>
      </w:r>
    </w:p>
    <w:p w14:paraId="0E0B86DE">
      <w:pPr>
        <w:numPr>
          <w:numId w:val="0"/>
        </w:numPr>
        <w:spacing w:before="120" w:after="120" w:line="288" w:lineRule="auto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  <w:lang w:val="en-US" w:eastAsia="zh-CN"/>
        </w:rPr>
        <w:t>3.</w:t>
      </w:r>
      <w:r>
        <w:rPr>
          <w:rFonts w:hint="eastAsia" w:asciiTheme="minorEastAsia" w:hAnsiTheme="minorEastAsia" w:eastAsiaTheme="minorEastAsia" w:cstheme="minorEastAsia"/>
          <w:b/>
          <w:sz w:val="22"/>
        </w:rPr>
        <w:t>财务生存稳定</w:t>
      </w:r>
      <w:r>
        <w:rPr>
          <w:rFonts w:hint="eastAsia" w:asciiTheme="minorEastAsia" w:hAnsiTheme="minorEastAsia" w:eastAsiaTheme="minorEastAsia" w:cstheme="minorEastAsia"/>
          <w:sz w:val="22"/>
        </w:rPr>
        <w:t>：项目计算期内累计净现金流量持续为正，建设期资金筹措充足，运营期现金流</w:t>
      </w:r>
      <w:bookmarkStart w:id="29" w:name="_GoBack"/>
      <w:bookmarkEnd w:id="29"/>
      <w:r>
        <w:rPr>
          <w:rFonts w:hint="eastAsia" w:asciiTheme="minorEastAsia" w:hAnsiTheme="minorEastAsia" w:eastAsiaTheme="minorEastAsia" w:cstheme="minorEastAsia"/>
          <w:sz w:val="22"/>
        </w:rPr>
        <w:t>盈余稳定，资金链安全，具备持续运营能力。</w:t>
      </w:r>
    </w:p>
    <w:p w14:paraId="7AA6345D">
      <w:pPr>
        <w:numPr>
          <w:numId w:val="0"/>
        </w:numPr>
        <w:spacing w:before="120" w:after="120" w:line="288" w:lineRule="auto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  <w:lang w:val="en-US" w:eastAsia="zh-CN"/>
        </w:rPr>
        <w:t>4.</w:t>
      </w:r>
      <w:r>
        <w:rPr>
          <w:rFonts w:hint="eastAsia" w:asciiTheme="minorEastAsia" w:hAnsiTheme="minorEastAsia" w:eastAsiaTheme="minorEastAsia" w:cstheme="minorEastAsia"/>
          <w:b/>
          <w:sz w:val="22"/>
        </w:rPr>
        <w:t>抗风险能力较强</w:t>
      </w:r>
      <w:r>
        <w:rPr>
          <w:rFonts w:hint="eastAsia" w:asciiTheme="minorEastAsia" w:hAnsiTheme="minorEastAsia" w:eastAsiaTheme="minorEastAsia" w:cstheme="minorEastAsia"/>
          <w:sz w:val="22"/>
        </w:rPr>
        <w:t>：敏感性分析显示项目对关键因素变动承受能力良好，盈亏平衡分析表明项目盈亏平衡点低，盈利空间大，能够抵御市场波动风险。</w:t>
      </w:r>
    </w:p>
    <w:p w14:paraId="26ED5CE9">
      <w:pPr>
        <w:numPr>
          <w:numId w:val="0"/>
        </w:numPr>
        <w:spacing w:before="120" w:after="120" w:line="288" w:lineRule="auto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  <w:lang w:val="en-US" w:eastAsia="zh-CN"/>
        </w:rPr>
        <w:t>5.</w:t>
      </w:r>
      <w:r>
        <w:rPr>
          <w:rFonts w:hint="eastAsia" w:asciiTheme="minorEastAsia" w:hAnsiTheme="minorEastAsia" w:eastAsiaTheme="minorEastAsia" w:cstheme="minorEastAsia"/>
          <w:b/>
          <w:sz w:val="22"/>
        </w:rPr>
        <w:t>投资回报合理</w:t>
      </w:r>
      <w:r>
        <w:rPr>
          <w:rFonts w:hint="eastAsia" w:asciiTheme="minorEastAsia" w:hAnsiTheme="minorEastAsia" w:eastAsiaTheme="minorEastAsia" w:cstheme="minorEastAsia"/>
          <w:sz w:val="22"/>
        </w:rPr>
        <w:t>：项目投资回收期约5.5年，投资回收速度较快，20年运营期+期末出售的模式实现收益最大化，整体投资价值较高。</w:t>
      </w:r>
    </w:p>
    <w:p w14:paraId="5E2151A4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25" w:name="heading_25"/>
      <w:r>
        <w:rPr>
          <w:rFonts w:hint="eastAsia" w:asciiTheme="minorEastAsia" w:hAnsiTheme="minorEastAsia" w:eastAsiaTheme="minorEastAsia" w:cstheme="minorEastAsia"/>
          <w:b/>
          <w:sz w:val="30"/>
        </w:rPr>
        <w:t>5.2 风险提示与建议</w:t>
      </w:r>
      <w:bookmarkEnd w:id="25"/>
    </w:p>
    <w:p w14:paraId="65811937">
      <w:pPr>
        <w:spacing w:before="260" w:after="120" w:line="288" w:lineRule="auto"/>
        <w:ind w:left="0"/>
        <w:jc w:val="left"/>
        <w:outlineLvl w:val="3"/>
        <w:rPr>
          <w:rFonts w:hint="eastAsia" w:asciiTheme="minorEastAsia" w:hAnsiTheme="minorEastAsia" w:eastAsiaTheme="minorEastAsia" w:cstheme="minorEastAsia"/>
        </w:rPr>
      </w:pPr>
      <w:bookmarkStart w:id="26" w:name="heading_26"/>
      <w:r>
        <w:rPr>
          <w:rFonts w:hint="eastAsia" w:asciiTheme="minorEastAsia" w:hAnsiTheme="minorEastAsia" w:eastAsiaTheme="minorEastAsia" w:cstheme="minorEastAsia"/>
          <w:b/>
          <w:sz w:val="28"/>
        </w:rPr>
        <w:t>5.2.1 主要风险</w:t>
      </w:r>
      <w:bookmarkEnd w:id="26"/>
    </w:p>
    <w:p w14:paraId="2783A736">
      <w:pPr>
        <w:numPr>
          <w:numId w:val="0"/>
        </w:numPr>
        <w:spacing w:before="120" w:after="120" w:line="288" w:lineRule="auto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  <w:lang w:val="en-US" w:eastAsia="zh-CN"/>
        </w:rPr>
        <w:t>1.</w:t>
      </w:r>
      <w:r>
        <w:rPr>
          <w:rFonts w:hint="eastAsia" w:asciiTheme="minorEastAsia" w:hAnsiTheme="minorEastAsia" w:eastAsiaTheme="minorEastAsia" w:cstheme="minorEastAsia"/>
          <w:b/>
          <w:sz w:val="22"/>
        </w:rPr>
        <w:t>市场风险</w:t>
      </w:r>
      <w:r>
        <w:rPr>
          <w:rFonts w:hint="eastAsia" w:asciiTheme="minorEastAsia" w:hAnsiTheme="minorEastAsia" w:eastAsiaTheme="minorEastAsia" w:cstheme="minorEastAsia"/>
          <w:sz w:val="22"/>
        </w:rPr>
        <w:t>：租赁收入是最敏感因素，房地产市场租金波动、空置率上升可能直接影响项目收益。</w:t>
      </w:r>
    </w:p>
    <w:p w14:paraId="6F17DF2A">
      <w:pPr>
        <w:numPr>
          <w:numId w:val="0"/>
        </w:numPr>
        <w:spacing w:before="120" w:after="120" w:line="288" w:lineRule="auto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  <w:lang w:val="en-US" w:eastAsia="zh-CN"/>
        </w:rPr>
        <w:t>2.</w:t>
      </w:r>
      <w:r>
        <w:rPr>
          <w:rFonts w:hint="eastAsia" w:asciiTheme="minorEastAsia" w:hAnsiTheme="minorEastAsia" w:eastAsiaTheme="minorEastAsia" w:cstheme="minorEastAsia"/>
          <w:b/>
          <w:sz w:val="22"/>
        </w:rPr>
        <w:t>成本风险</w:t>
      </w:r>
      <w:r>
        <w:rPr>
          <w:rFonts w:hint="eastAsia" w:asciiTheme="minorEastAsia" w:hAnsiTheme="minorEastAsia" w:eastAsiaTheme="minorEastAsia" w:cstheme="minorEastAsia"/>
          <w:sz w:val="22"/>
        </w:rPr>
        <w:t>：建设投资超支、人工工资及维护费用上涨可能压缩利润空间。</w:t>
      </w:r>
    </w:p>
    <w:p w14:paraId="2D0C178D">
      <w:pPr>
        <w:numPr>
          <w:numId w:val="0"/>
        </w:numPr>
        <w:spacing w:before="120" w:after="120" w:line="288" w:lineRule="auto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  <w:lang w:val="en-US" w:eastAsia="zh-CN"/>
        </w:rPr>
        <w:t>3.</w:t>
      </w:r>
      <w:r>
        <w:rPr>
          <w:rFonts w:hint="eastAsia" w:asciiTheme="minorEastAsia" w:hAnsiTheme="minorEastAsia" w:eastAsiaTheme="minorEastAsia" w:cstheme="minorEastAsia"/>
          <w:b/>
          <w:sz w:val="22"/>
        </w:rPr>
        <w:t>融资风险</w:t>
      </w:r>
      <w:r>
        <w:rPr>
          <w:rFonts w:hint="eastAsia" w:asciiTheme="minorEastAsia" w:hAnsiTheme="minorEastAsia" w:eastAsiaTheme="minorEastAsia" w:cstheme="minorEastAsia"/>
          <w:sz w:val="22"/>
        </w:rPr>
        <w:t>：借款利率调整、还款压力集中可能影响现金流稳定性。</w:t>
      </w:r>
    </w:p>
    <w:p w14:paraId="3319EAEF">
      <w:pPr>
        <w:numPr>
          <w:numId w:val="0"/>
        </w:numPr>
        <w:spacing w:before="120" w:after="120" w:line="288" w:lineRule="auto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  <w:lang w:val="en-US" w:eastAsia="zh-CN"/>
        </w:rPr>
        <w:t>4.</w:t>
      </w:r>
      <w:r>
        <w:rPr>
          <w:rFonts w:hint="eastAsia" w:asciiTheme="minorEastAsia" w:hAnsiTheme="minorEastAsia" w:eastAsiaTheme="minorEastAsia" w:cstheme="minorEastAsia"/>
          <w:b/>
          <w:sz w:val="22"/>
        </w:rPr>
        <w:t>运营风险</w:t>
      </w:r>
      <w:r>
        <w:rPr>
          <w:rFonts w:hint="eastAsia" w:asciiTheme="minorEastAsia" w:hAnsiTheme="minorEastAsia" w:eastAsiaTheme="minorEastAsia" w:cstheme="minorEastAsia"/>
          <w:sz w:val="22"/>
        </w:rPr>
        <w:t>：物业服务质量不足、招商不及预期可能导致租赁率下降。</w:t>
      </w:r>
    </w:p>
    <w:p w14:paraId="085C0E12">
      <w:pPr>
        <w:spacing w:before="260" w:after="120" w:line="288" w:lineRule="auto"/>
        <w:ind w:left="0"/>
        <w:jc w:val="left"/>
        <w:outlineLvl w:val="3"/>
        <w:rPr>
          <w:rFonts w:hint="eastAsia" w:asciiTheme="minorEastAsia" w:hAnsiTheme="minorEastAsia" w:eastAsiaTheme="minorEastAsia" w:cstheme="minorEastAsia"/>
        </w:rPr>
      </w:pPr>
      <w:bookmarkStart w:id="27" w:name="heading_27"/>
      <w:r>
        <w:rPr>
          <w:rFonts w:hint="eastAsia" w:asciiTheme="minorEastAsia" w:hAnsiTheme="minorEastAsia" w:eastAsiaTheme="minorEastAsia" w:cstheme="minorEastAsia"/>
          <w:b/>
          <w:sz w:val="28"/>
        </w:rPr>
        <w:t>5.2.2 应对建议</w:t>
      </w:r>
      <w:bookmarkEnd w:id="27"/>
    </w:p>
    <w:p w14:paraId="57DCF993">
      <w:pPr>
        <w:numPr>
          <w:numId w:val="0"/>
        </w:numPr>
        <w:spacing w:before="120" w:after="120" w:line="288" w:lineRule="auto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  <w:lang w:val="en-US" w:eastAsia="zh-CN"/>
        </w:rPr>
        <w:t>1.</w:t>
      </w:r>
      <w:r>
        <w:rPr>
          <w:rFonts w:hint="eastAsia" w:asciiTheme="minorEastAsia" w:hAnsiTheme="minorEastAsia" w:eastAsiaTheme="minorEastAsia" w:cstheme="minorEastAsia"/>
          <w:b/>
          <w:sz w:val="22"/>
        </w:rPr>
        <w:t>强化市场运营</w:t>
      </w:r>
      <w:r>
        <w:rPr>
          <w:rFonts w:hint="eastAsia" w:asciiTheme="minorEastAsia" w:hAnsiTheme="minorEastAsia" w:eastAsiaTheme="minorEastAsia" w:cstheme="minorEastAsia"/>
          <w:sz w:val="22"/>
        </w:rPr>
        <w:t>：定期监测区域写字楼租赁市场动态，制定灵活的租金定价和招商策略，优化租户结构，保障高租赁率；提升物业服务品质，增强客户粘性，降低空置风险。</w:t>
      </w:r>
    </w:p>
    <w:p w14:paraId="5C708087">
      <w:pPr>
        <w:numPr>
          <w:numId w:val="0"/>
        </w:numPr>
        <w:spacing w:before="120" w:after="120" w:line="288" w:lineRule="auto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  <w:lang w:val="en-US" w:eastAsia="zh-CN"/>
        </w:rPr>
        <w:t>2.</w:t>
      </w:r>
      <w:r>
        <w:rPr>
          <w:rFonts w:hint="eastAsia" w:asciiTheme="minorEastAsia" w:hAnsiTheme="minorEastAsia" w:eastAsiaTheme="minorEastAsia" w:cstheme="minorEastAsia"/>
          <w:b/>
          <w:sz w:val="22"/>
        </w:rPr>
        <w:t>严格成本管控</w:t>
      </w:r>
      <w:r>
        <w:rPr>
          <w:rFonts w:hint="eastAsia" w:asciiTheme="minorEastAsia" w:hAnsiTheme="minorEastAsia" w:eastAsiaTheme="minorEastAsia" w:cstheme="minorEastAsia"/>
          <w:sz w:val="22"/>
        </w:rPr>
        <w:t>：建设期加强投资管理，细化预算执行，避免建设成本超支；运营期优化成本结构，合理控制人工、维护等可变成本，建立成本动态监控机制。</w:t>
      </w:r>
    </w:p>
    <w:p w14:paraId="51120204">
      <w:pPr>
        <w:numPr>
          <w:numId w:val="0"/>
        </w:numPr>
        <w:spacing w:before="120" w:after="120" w:line="288" w:lineRule="auto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  <w:lang w:val="en-US" w:eastAsia="zh-CN"/>
        </w:rPr>
        <w:t>3.</w:t>
      </w:r>
      <w:r>
        <w:rPr>
          <w:rFonts w:hint="eastAsia" w:asciiTheme="minorEastAsia" w:hAnsiTheme="minorEastAsia" w:eastAsiaTheme="minorEastAsia" w:cstheme="minorEastAsia"/>
          <w:b/>
          <w:sz w:val="22"/>
        </w:rPr>
        <w:t>优化融资方案</w:t>
      </w:r>
      <w:r>
        <w:rPr>
          <w:rFonts w:hint="eastAsia" w:asciiTheme="minorEastAsia" w:hAnsiTheme="minorEastAsia" w:eastAsiaTheme="minorEastAsia" w:cstheme="minorEastAsia"/>
          <w:sz w:val="22"/>
        </w:rPr>
        <w:t>：合理调整借款期限和还款节奏，匹配现金流状况；关注利率变动趋势，适时选择融资工具，降低融资成本和财务风险。</w:t>
      </w:r>
    </w:p>
    <w:p w14:paraId="5EB143BE">
      <w:pPr>
        <w:numPr>
          <w:numId w:val="0"/>
        </w:numPr>
        <w:spacing w:before="120" w:after="120" w:line="288" w:lineRule="auto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  <w:lang w:val="en-US" w:eastAsia="zh-CN"/>
        </w:rPr>
        <w:t>4.</w:t>
      </w:r>
      <w:r>
        <w:rPr>
          <w:rFonts w:hint="eastAsia" w:asciiTheme="minorEastAsia" w:hAnsiTheme="minorEastAsia" w:eastAsiaTheme="minorEastAsia" w:cstheme="minorEastAsia"/>
          <w:b/>
          <w:sz w:val="22"/>
        </w:rPr>
        <w:t>完善风险预警</w:t>
      </w:r>
      <w:r>
        <w:rPr>
          <w:rFonts w:hint="eastAsia" w:asciiTheme="minorEastAsia" w:hAnsiTheme="minorEastAsia" w:eastAsiaTheme="minorEastAsia" w:cstheme="minorEastAsia"/>
          <w:sz w:val="22"/>
        </w:rPr>
        <w:t>：建立以租赁率、租金水平、成本控制为核心的风险预警指标体系，针对敏感性因素制定应急预案；定期开展财务复盘，及时调整运营策略。</w:t>
      </w:r>
    </w:p>
    <w:p w14:paraId="7A8DD61F">
      <w:pPr>
        <w:numPr>
          <w:numId w:val="0"/>
        </w:numPr>
        <w:spacing w:before="120" w:after="120" w:line="288" w:lineRule="auto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  <w:lang w:val="en-US" w:eastAsia="zh-CN"/>
        </w:rPr>
        <w:t>5.</w:t>
      </w:r>
      <w:r>
        <w:rPr>
          <w:rFonts w:hint="eastAsia" w:asciiTheme="minorEastAsia" w:hAnsiTheme="minorEastAsia" w:eastAsiaTheme="minorEastAsia" w:cstheme="minorEastAsia"/>
          <w:b/>
          <w:sz w:val="22"/>
        </w:rPr>
        <w:t>提升资产价值</w:t>
      </w:r>
      <w:r>
        <w:rPr>
          <w:rFonts w:hint="eastAsia" w:asciiTheme="minorEastAsia" w:hAnsiTheme="minorEastAsia" w:eastAsiaTheme="minorEastAsia" w:cstheme="minorEastAsia"/>
          <w:sz w:val="22"/>
        </w:rPr>
        <w:t>：运营期内定期进行设施维护和升级改造，保持写字楼品质，为租金稳定和期末高售价奠定基础；探索多元化经营模式，增加增值服务收入。</w:t>
      </w:r>
    </w:p>
    <w:p w14:paraId="0C89956C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28" w:name="heading_28"/>
      <w:r>
        <w:rPr>
          <w:rFonts w:hint="eastAsia" w:asciiTheme="minorEastAsia" w:hAnsiTheme="minorEastAsia" w:eastAsiaTheme="minorEastAsia" w:cstheme="minorEastAsia"/>
          <w:b/>
          <w:sz w:val="32"/>
        </w:rPr>
        <w:t>六、附件</w:t>
      </w:r>
      <w:bookmarkEnd w:id="28"/>
    </w:p>
    <w:p w14:paraId="341F0DD8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  <w:lang w:val="en-US" w:eastAsia="zh-CN"/>
        </w:rPr>
        <w:t>1.</w:t>
      </w:r>
      <w:r>
        <w:rPr>
          <w:rFonts w:hint="eastAsia" w:asciiTheme="minorEastAsia" w:hAnsiTheme="minorEastAsia" w:eastAsiaTheme="minorEastAsia" w:cstheme="minorEastAsia"/>
          <w:sz w:val="22"/>
        </w:rPr>
        <w:t>东方大厦建设项目财务评价模型（Excel文件</w:t>
      </w:r>
      <w:r>
        <w:rPr>
          <w:rFonts w:hint="eastAsia" w:asciiTheme="minorEastAsia" w:hAnsiTheme="minorEastAsia" w:eastAsiaTheme="minorEastAsia" w:cstheme="minorEastAsia"/>
          <w:sz w:val="22"/>
          <w:lang w:val="en-US" w:eastAsia="zh-CN"/>
        </w:rPr>
        <w:t>包含</w:t>
      </w:r>
      <w:r>
        <w:rPr>
          <w:rFonts w:hint="eastAsia" w:asciiTheme="minorEastAsia" w:hAnsiTheme="minorEastAsia" w:eastAsiaTheme="minorEastAsia" w:cstheme="minorEastAsia"/>
          <w:sz w:val="22"/>
        </w:rPr>
        <w:t>基础数据表、投资计划与资金筹措表等11张核心财务报表）</w:t>
      </w:r>
    </w:p>
    <w:p w14:paraId="26911A0D">
      <w:pPr>
        <w:numPr>
          <w:numId w:val="0"/>
        </w:numPr>
        <w:spacing w:before="120" w:after="120" w:line="288" w:lineRule="auto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  <w:lang w:val="en-US" w:eastAsia="zh-CN"/>
        </w:rPr>
        <w:t>2.</w:t>
      </w:r>
      <w:r>
        <w:rPr>
          <w:rFonts w:hint="eastAsia" w:asciiTheme="minorEastAsia" w:hAnsiTheme="minorEastAsia" w:eastAsiaTheme="minorEastAsia" w:cstheme="minorEastAsia"/>
          <w:sz w:val="22"/>
        </w:rPr>
        <w:t>敏感性分析图、盈亏平衡分析图</w:t>
      </w:r>
    </w:p>
    <w:p w14:paraId="1074D251">
      <w:pPr>
        <w:numPr>
          <w:numId w:val="0"/>
        </w:numPr>
        <w:spacing w:before="120" w:after="120" w:line="288" w:lineRule="auto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  <w:lang w:val="en-US" w:eastAsia="zh-CN"/>
        </w:rPr>
        <w:t>3.</w:t>
      </w:r>
      <w:r>
        <w:rPr>
          <w:rFonts w:hint="eastAsia" w:asciiTheme="minorEastAsia" w:hAnsiTheme="minorEastAsia" w:eastAsiaTheme="minorEastAsia" w:cstheme="minorEastAsia"/>
          <w:sz w:val="22"/>
        </w:rPr>
        <w:t>项目投资估算表、资金筹措表等基础资料</w:t>
      </w:r>
    </w:p>
    <w:p w14:paraId="1BC84696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eastAsia" w:asciiTheme="minorEastAsia" w:hAnsiTheme="minorEastAsia" w:eastAsiaTheme="minorEastAsia" w:cstheme="minorEastAsia"/>
        </w:rPr>
      </w:pPr>
    </w:p>
    <w:p w14:paraId="3511E8F8">
      <w:pPr>
        <w:spacing w:before="120" w:after="120" w:line="288" w:lineRule="auto"/>
        <w:ind w:left="0"/>
        <w:jc w:val="left"/>
        <w:rPr>
          <w:rFonts w:hint="default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报告编制日期</w:t>
      </w:r>
      <w:r>
        <w:rPr>
          <w:rFonts w:hint="eastAsia" w:asciiTheme="minorEastAsia" w:hAnsiTheme="minorEastAsia" w:eastAsiaTheme="minorEastAsia" w:cstheme="minorEastAsia"/>
          <w:sz w:val="22"/>
        </w:rPr>
        <w:t>：2025年</w:t>
      </w:r>
      <w:r>
        <w:rPr>
          <w:rFonts w:hint="eastAsia" w:asciiTheme="minorEastAsia" w:hAnsiTheme="minorEastAsia" w:eastAsiaTheme="minorEastAsia" w:cstheme="minorEastAsia"/>
          <w:sz w:val="22"/>
          <w:lang w:val="en-US" w:eastAsia="zh-CN"/>
        </w:rPr>
        <w:t>11月30日</w:t>
      </w:r>
    </w:p>
    <w:p w14:paraId="1439CC98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报告编制单位</w:t>
      </w:r>
      <w:r>
        <w:rPr>
          <w:rFonts w:hint="eastAsia" w:asciiTheme="minorEastAsia" w:hAnsiTheme="minorEastAsia" w:eastAsiaTheme="minorEastAsia" w:cstheme="minorEastAsia"/>
          <w:sz w:val="22"/>
        </w:rPr>
        <w:t>：[</w:t>
      </w:r>
      <w:r>
        <w:rPr>
          <w:rFonts w:hint="eastAsia" w:asciiTheme="minorEastAsia" w:hAnsiTheme="minorEastAsia" w:eastAsiaTheme="minorEastAsia" w:cstheme="minorEastAsia"/>
          <w:sz w:val="22"/>
          <w:lang w:val="en-US" w:eastAsia="zh-CN"/>
        </w:rPr>
        <w:t>曾美玲</w:t>
      </w:r>
      <w:r>
        <w:rPr>
          <w:rFonts w:hint="eastAsia" w:asciiTheme="minorEastAsia" w:hAnsiTheme="minorEastAsia" w:eastAsiaTheme="minorEastAsia" w:cstheme="minorEastAsia"/>
          <w:sz w:val="22"/>
        </w:rPr>
        <w:t>]</w:t>
      </w:r>
    </w:p>
    <w:p w14:paraId="4A7EFF0A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2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学号</w:t>
      </w:r>
      <w:r>
        <w:rPr>
          <w:rFonts w:hint="eastAsia" w:asciiTheme="minorEastAsia" w:hAnsiTheme="minorEastAsia" w:eastAsiaTheme="minorEastAsia" w:cstheme="minorEastAsia"/>
          <w:sz w:val="22"/>
        </w:rPr>
        <w:t>：[</w:t>
      </w:r>
      <w:r>
        <w:rPr>
          <w:rFonts w:hint="eastAsia" w:asciiTheme="minorEastAsia" w:hAnsiTheme="minorEastAsia" w:eastAsiaTheme="minorEastAsia" w:cstheme="minorEastAsia"/>
          <w:sz w:val="22"/>
          <w:lang w:val="en-US" w:eastAsia="zh-CN"/>
        </w:rPr>
        <w:t>120252306453</w:t>
      </w:r>
      <w:r>
        <w:rPr>
          <w:rFonts w:hint="eastAsia" w:asciiTheme="minorEastAsia" w:hAnsiTheme="minorEastAsia" w:eastAsiaTheme="minorEastAsia" w:cstheme="minorEastAsia"/>
          <w:sz w:val="22"/>
        </w:rPr>
        <w:t>]</w:t>
      </w:r>
    </w:p>
    <w:p w14:paraId="7588C2F0">
      <w:pPr>
        <w:rPr>
          <w:rFonts w:hint="eastAsia" w:asciiTheme="minorEastAsia" w:hAnsiTheme="minorEastAsia" w:eastAsiaTheme="minorEastAsia" w:cstheme="minorEastAsia"/>
          <w:sz w:val="22"/>
        </w:rPr>
      </w:pPr>
      <w:r>
        <w:rPr>
          <w:rFonts w:hint="eastAsia" w:asciiTheme="minorEastAsia" w:hAnsiTheme="minorEastAsia" w:eastAsiaTheme="minorEastAsia" w:cstheme="minorEastAsia"/>
          <w:sz w:val="22"/>
        </w:rPr>
        <w:br w:type="page"/>
      </w:r>
    </w:p>
    <w:p w14:paraId="59997141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附件2：</w:t>
      </w:r>
    </w:p>
    <w:p w14:paraId="7DB4FD44">
      <w:pPr>
        <w:pStyle w:val="2"/>
        <w:bidi w:val="0"/>
        <w:jc w:val="left"/>
        <w:rPr>
          <w:rFonts w:hint="default" w:asciiTheme="minorEastAsia" w:hAnsiTheme="minorEastAsia" w:eastAsiaTheme="minorEastAsia" w:cstheme="minorEastAsia"/>
          <w:b/>
          <w:sz w:val="2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sz w:val="22"/>
          <w:lang w:val="en-US" w:eastAsia="zh-CN"/>
        </w:rPr>
        <w:t>1.敏感性分析图</w:t>
      </w:r>
    </w:p>
    <w:p w14:paraId="696EECDB">
      <w:pPr>
        <w:pStyle w:val="2"/>
        <w:bidi w:val="0"/>
        <w:jc w:val="center"/>
      </w:pPr>
      <w:r>
        <w:drawing>
          <wp:inline distT="0" distB="0" distL="114300" distR="114300">
            <wp:extent cx="5262245" cy="2983230"/>
            <wp:effectExtent l="0" t="0" r="10795" b="3810"/>
            <wp:docPr id="3" name="图片 2" descr="11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1111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9A45A">
      <w:pPr>
        <w:pStyle w:val="2"/>
        <w:numPr>
          <w:ilvl w:val="0"/>
          <w:numId w:val="0"/>
        </w:numPr>
        <w:bidi w:val="0"/>
        <w:jc w:val="left"/>
        <w:rPr>
          <w:rFonts w:hint="eastAsia" w:asciiTheme="minorEastAsia" w:hAnsiTheme="minorEastAsia" w:eastAsiaTheme="minorEastAsia" w:cstheme="minorEastAsia"/>
          <w:sz w:val="22"/>
        </w:rPr>
      </w:pPr>
      <w:r>
        <w:rPr>
          <w:rFonts w:hint="eastAsia" w:asciiTheme="minorEastAsia" w:hAnsiTheme="minorEastAsia" w:eastAsiaTheme="minorEastAsia" w:cstheme="minorEastAsia"/>
          <w:b/>
          <w:sz w:val="22"/>
          <w:szCs w:val="22"/>
        </w:rPr>
        <w:t>2.</w:t>
      </w:r>
      <w:r>
        <w:rPr>
          <w:rFonts w:hint="eastAsia" w:asciiTheme="minorEastAsia" w:hAnsiTheme="minorEastAsia" w:eastAsiaTheme="minorEastAsia" w:cstheme="minorEastAsia"/>
          <w:sz w:val="22"/>
        </w:rPr>
        <w:t>盈亏平衡分析图</w:t>
      </w:r>
    </w:p>
    <w:p w14:paraId="284BE181">
      <w:pPr>
        <w:pStyle w:val="2"/>
        <w:numPr>
          <w:ilvl w:val="0"/>
          <w:numId w:val="0"/>
        </w:numPr>
        <w:bidi w:val="0"/>
        <w:jc w:val="center"/>
        <w:rPr>
          <w:rFonts w:hint="eastAsia" w:asciiTheme="minorEastAsia" w:hAnsiTheme="minorEastAsia" w:eastAsiaTheme="minorEastAsia" w:cstheme="minorEastAsia"/>
          <w:sz w:val="22"/>
        </w:rPr>
      </w:pPr>
      <w:r>
        <w:drawing>
          <wp:inline distT="0" distB="0" distL="114300" distR="114300">
            <wp:extent cx="5182870" cy="2920365"/>
            <wp:effectExtent l="0" t="0" r="13970" b="5715"/>
            <wp:docPr id="6" name="图片 5" descr="C:/Users/hp/Desktop/2222.jpg2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 descr="C:/Users/hp/Desktop/2222.jpg2222"/>
                    <pic:cNvPicPr>
                      <a:picLocks noChangeAspect="1"/>
                    </pic:cNvPicPr>
                  </pic:nvPicPr>
                  <pic:blipFill>
                    <a:blip r:embed="rId7"/>
                    <a:srcRect t="47" b="67"/>
                    <a:stretch>
                      <a:fillRect/>
                    </a:stretch>
                  </pic:blipFill>
                  <pic:spPr>
                    <a:xfrm>
                      <a:off x="0" y="0"/>
                      <a:ext cx="518287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3C33D">
      <w:pPr>
        <w:pStyle w:val="2"/>
        <w:numPr>
          <w:numId w:val="0"/>
        </w:numPr>
        <w:bidi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br w:type="page"/>
      </w:r>
    </w:p>
    <w:p w14:paraId="4A200B63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附件3：</w:t>
      </w:r>
    </w:p>
    <w:p w14:paraId="6E895DB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案例来源：https://jgzx.zjxu.edu.cn/jxpt/kc_syxm.aspx?action=Details&amp;id=90</w:t>
      </w:r>
    </w:p>
    <w:p w14:paraId="44B5758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rPr>
          <w:rFonts w:hint="eastAsia" w:asciiTheme="minorEastAsia" w:hAnsiTheme="minorEastAsia" w:eastAsiaTheme="minorEastAsia" w:cstheme="minorEastAsia"/>
          <w:kern w:val="0"/>
          <w:sz w:val="22"/>
          <w:szCs w:val="22"/>
          <w:lang/>
        </w:rPr>
      </w:pPr>
      <w:r>
        <w:rPr>
          <w:rFonts w:hint="eastAsia" w:asciiTheme="minorEastAsia" w:hAnsiTheme="minorEastAsia" w:eastAsiaTheme="minorEastAsia" w:cstheme="minorEastAsia"/>
          <w:kern w:val="0"/>
          <w:sz w:val="22"/>
          <w:szCs w:val="22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  <w:kern w:val="0"/>
          <w:sz w:val="22"/>
          <w:szCs w:val="22"/>
          <w:lang/>
        </w:rPr>
        <w:t>一）项目背景</w:t>
      </w:r>
    </w:p>
    <w:p w14:paraId="2210FB6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rPr>
          <w:rFonts w:hint="eastAsia" w:asciiTheme="minorEastAsia" w:hAnsiTheme="minorEastAsia" w:eastAsiaTheme="minorEastAsia" w:cstheme="minorEastAsia"/>
          <w:kern w:val="0"/>
          <w:sz w:val="22"/>
          <w:szCs w:val="22"/>
          <w:lang/>
        </w:rPr>
      </w:pPr>
      <w:r>
        <w:rPr>
          <w:rFonts w:hint="eastAsia" w:asciiTheme="minorEastAsia" w:hAnsiTheme="minorEastAsia" w:eastAsiaTheme="minorEastAsia" w:cstheme="minorEastAsia"/>
          <w:kern w:val="0"/>
          <w:sz w:val="22"/>
          <w:szCs w:val="22"/>
          <w:lang/>
        </w:rPr>
        <w:t>拟建的东方大厦，总建筑面积33300 m2， 是一座由龙跃公司开发的集办公、商务配套于一体的5A级智能高档商务写字楼。作为高品质的智能写字楼，东方大厦具备5A级智能化写字楼标准，电话通信系统、电缆电视系统、电信宽带系统、安全监控系统、自动报警系统等完善科技配套一应俱全。</w:t>
      </w:r>
    </w:p>
    <w:p w14:paraId="538F923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rPr>
          <w:rFonts w:hint="eastAsia" w:asciiTheme="minorEastAsia" w:hAnsiTheme="minorEastAsia" w:eastAsiaTheme="minorEastAsia" w:cstheme="minorEastAsia"/>
          <w:kern w:val="0"/>
          <w:sz w:val="22"/>
          <w:szCs w:val="22"/>
          <w:lang/>
        </w:rPr>
      </w:pPr>
      <w:r>
        <w:rPr>
          <w:rFonts w:hint="eastAsia" w:asciiTheme="minorEastAsia" w:hAnsiTheme="minorEastAsia" w:eastAsiaTheme="minorEastAsia" w:cstheme="minorEastAsia"/>
          <w:kern w:val="0"/>
          <w:sz w:val="22"/>
          <w:szCs w:val="22"/>
          <w:lang/>
        </w:rPr>
        <w:t>（二）基本资料</w:t>
      </w:r>
    </w:p>
    <w:p w14:paraId="2E39D7C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rPr>
          <w:rFonts w:hint="eastAsia" w:asciiTheme="minorEastAsia" w:hAnsiTheme="minorEastAsia" w:eastAsiaTheme="minorEastAsia" w:cstheme="minorEastAsia"/>
          <w:kern w:val="0"/>
          <w:sz w:val="22"/>
          <w:szCs w:val="22"/>
          <w:lang/>
        </w:rPr>
      </w:pPr>
      <w:r>
        <w:rPr>
          <w:rFonts w:hint="eastAsia" w:asciiTheme="minorEastAsia" w:hAnsiTheme="minorEastAsia" w:eastAsiaTheme="minorEastAsia" w:cstheme="minorEastAsia"/>
          <w:kern w:val="0"/>
          <w:sz w:val="22"/>
          <w:szCs w:val="22"/>
          <w:lang/>
        </w:rPr>
        <w:t>1.基础数据和说明</w:t>
      </w:r>
    </w:p>
    <w:p w14:paraId="680C8A3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rPr>
          <w:rFonts w:hint="eastAsia" w:asciiTheme="minorEastAsia" w:hAnsiTheme="minorEastAsia" w:eastAsiaTheme="minorEastAsia" w:cstheme="minorEastAsia"/>
          <w:kern w:val="0"/>
          <w:sz w:val="22"/>
          <w:szCs w:val="22"/>
          <w:lang/>
        </w:rPr>
      </w:pPr>
      <w:r>
        <w:rPr>
          <w:rFonts w:hint="eastAsia" w:asciiTheme="minorEastAsia" w:hAnsiTheme="minorEastAsia" w:eastAsiaTheme="minorEastAsia" w:cstheme="minorEastAsia"/>
          <w:kern w:val="0"/>
          <w:sz w:val="22"/>
          <w:szCs w:val="22"/>
          <w:lang/>
        </w:rPr>
        <w:t>本项目按一次建成投入运营进行各项指标计算。2006年开始投入建设，建设时间为29个月。2008年底完工开始使用，公司打算把完工的东方大厦用于出租， 20年后再出售。</w:t>
      </w:r>
    </w:p>
    <w:p w14:paraId="2B597A5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rPr>
          <w:rFonts w:hint="eastAsia" w:asciiTheme="minorEastAsia" w:hAnsiTheme="minorEastAsia" w:eastAsiaTheme="minorEastAsia" w:cstheme="minorEastAsia"/>
          <w:kern w:val="0"/>
          <w:sz w:val="22"/>
          <w:szCs w:val="22"/>
          <w:lang/>
        </w:rPr>
      </w:pPr>
      <w:r>
        <w:rPr>
          <w:rFonts w:hint="eastAsia" w:asciiTheme="minorEastAsia" w:hAnsiTheme="minorEastAsia" w:eastAsiaTheme="minorEastAsia" w:cstheme="minorEastAsia"/>
          <w:kern w:val="0"/>
          <w:sz w:val="22"/>
          <w:szCs w:val="22"/>
          <w:lang/>
        </w:rPr>
        <w:t>2.项目总投资估算</w:t>
      </w:r>
    </w:p>
    <w:p w14:paraId="5CF87C1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rPr>
          <w:rFonts w:hint="eastAsia" w:asciiTheme="minorEastAsia" w:hAnsiTheme="minorEastAsia" w:eastAsiaTheme="minorEastAsia" w:cstheme="minorEastAsia"/>
          <w:kern w:val="0"/>
          <w:sz w:val="22"/>
          <w:szCs w:val="22"/>
          <w:lang/>
        </w:rPr>
      </w:pPr>
      <w:r>
        <w:rPr>
          <w:rFonts w:hint="eastAsia" w:asciiTheme="minorEastAsia" w:hAnsiTheme="minorEastAsia" w:eastAsiaTheme="minorEastAsia" w:cstheme="minorEastAsia"/>
          <w:kern w:val="0"/>
          <w:sz w:val="22"/>
          <w:szCs w:val="22"/>
          <w:lang/>
        </w:rPr>
        <w:t>本项目总投资11793.46万元，投资估算表如表1所示：</w:t>
      </w:r>
    </w:p>
    <w:p w14:paraId="40D164E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rPr>
          <w:rFonts w:hint="eastAsia" w:asciiTheme="minorEastAsia" w:hAnsiTheme="minorEastAsia" w:eastAsiaTheme="minorEastAsia" w:cstheme="minorEastAsia"/>
          <w:kern w:val="0"/>
          <w:sz w:val="22"/>
          <w:szCs w:val="22"/>
          <w:lang/>
        </w:rPr>
      </w:pPr>
      <w:r>
        <w:rPr>
          <w:rFonts w:hint="eastAsia" w:asciiTheme="minorEastAsia" w:hAnsiTheme="minorEastAsia" w:eastAsiaTheme="minorEastAsia" w:cstheme="minorEastAsia"/>
          <w:kern w:val="0"/>
          <w:sz w:val="22"/>
          <w:szCs w:val="22"/>
          <w:lang/>
        </w:rPr>
        <w:t>表1  项目总投资估算表（单位：万元）</w:t>
      </w:r>
    </w:p>
    <w:tbl>
      <w:tblPr>
        <w:tblStyle w:val="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613"/>
        <w:gridCol w:w="3407"/>
      </w:tblGrid>
      <w:tr w14:paraId="2DE17B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13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14:paraId="6FF4FBE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  <w:t>投资估算总金额</w:t>
            </w:r>
          </w:p>
        </w:tc>
        <w:tc>
          <w:tcPr>
            <w:tcW w:w="3407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14:paraId="43E3D41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  <w:t>11793.46</w:t>
            </w:r>
          </w:p>
        </w:tc>
      </w:tr>
      <w:tr w14:paraId="51126F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1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14:paraId="506DBC1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  <w:t>开发成本</w:t>
            </w:r>
          </w:p>
        </w:tc>
        <w:tc>
          <w:tcPr>
            <w:tcW w:w="3407" w:type="dxa"/>
            <w:tcBorders>
              <w:top w:val="nil"/>
              <w:left w:val="nil"/>
              <w:bottom w:val="single" w:color="auto" w:sz="8" w:space="0"/>
              <w:right w:val="nil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14:paraId="09EDBCF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  <w:t>10643.46</w:t>
            </w:r>
          </w:p>
        </w:tc>
      </w:tr>
      <w:tr w14:paraId="0D107C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1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14:paraId="499E6F0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  <w:t>第一部分：建筑安装工程费用</w:t>
            </w:r>
          </w:p>
        </w:tc>
        <w:tc>
          <w:tcPr>
            <w:tcW w:w="3407" w:type="dxa"/>
            <w:tcBorders>
              <w:top w:val="nil"/>
              <w:left w:val="nil"/>
              <w:bottom w:val="single" w:color="auto" w:sz="8" w:space="0"/>
              <w:right w:val="nil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14:paraId="4AD4186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  <w:t>9345.24</w:t>
            </w:r>
          </w:p>
        </w:tc>
      </w:tr>
      <w:tr w14:paraId="042859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1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14:paraId="231F4A9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  <w:t>第二部分：室外附属工程</w:t>
            </w:r>
          </w:p>
        </w:tc>
        <w:tc>
          <w:tcPr>
            <w:tcW w:w="3407" w:type="dxa"/>
            <w:tcBorders>
              <w:top w:val="nil"/>
              <w:left w:val="nil"/>
              <w:bottom w:val="single" w:color="auto" w:sz="8" w:space="0"/>
              <w:right w:val="nil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14:paraId="7ABA57F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  <w:t>29.12</w:t>
            </w:r>
          </w:p>
        </w:tc>
      </w:tr>
      <w:tr w14:paraId="3CB0F8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1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14:paraId="46D9B7C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  <w:t>第三部分：设备购置费</w:t>
            </w:r>
          </w:p>
        </w:tc>
        <w:tc>
          <w:tcPr>
            <w:tcW w:w="3407" w:type="dxa"/>
            <w:tcBorders>
              <w:top w:val="nil"/>
              <w:left w:val="nil"/>
              <w:bottom w:val="single" w:color="auto" w:sz="8" w:space="0"/>
              <w:right w:val="nil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14:paraId="63B0ADE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  <w:t>350</w:t>
            </w:r>
          </w:p>
        </w:tc>
      </w:tr>
      <w:tr w14:paraId="28604F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1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14:paraId="46F64FF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  <w:t>第四部分：工程建设其他费用</w:t>
            </w:r>
          </w:p>
        </w:tc>
        <w:tc>
          <w:tcPr>
            <w:tcW w:w="3407" w:type="dxa"/>
            <w:tcBorders>
              <w:top w:val="nil"/>
              <w:left w:val="nil"/>
              <w:bottom w:val="single" w:color="auto" w:sz="8" w:space="0"/>
              <w:right w:val="nil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14:paraId="6EADDAA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  <w:t>413.3</w:t>
            </w:r>
          </w:p>
        </w:tc>
      </w:tr>
      <w:tr w14:paraId="252E6A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1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14:paraId="63D64AE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  <w:t>其中：建设期利息</w:t>
            </w:r>
          </w:p>
        </w:tc>
        <w:tc>
          <w:tcPr>
            <w:tcW w:w="3407" w:type="dxa"/>
            <w:tcBorders>
              <w:top w:val="nil"/>
              <w:left w:val="nil"/>
              <w:bottom w:val="single" w:color="auto" w:sz="8" w:space="0"/>
              <w:right w:val="nil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14:paraId="36093F6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  <w:t>65</w:t>
            </w:r>
          </w:p>
        </w:tc>
      </w:tr>
      <w:tr w14:paraId="759E45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1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14:paraId="25B0371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  <w:t>第五部分：预备费</w:t>
            </w:r>
          </w:p>
        </w:tc>
        <w:tc>
          <w:tcPr>
            <w:tcW w:w="3407" w:type="dxa"/>
            <w:tcBorders>
              <w:top w:val="nil"/>
              <w:left w:val="nil"/>
              <w:bottom w:val="single" w:color="auto" w:sz="8" w:space="0"/>
              <w:right w:val="nil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14:paraId="3DF8762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  <w:t>505.8</w:t>
            </w:r>
          </w:p>
        </w:tc>
      </w:tr>
      <w:tr w14:paraId="1E8529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1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14:paraId="5EB9F80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  <w:t>开发费用：</w:t>
            </w:r>
          </w:p>
        </w:tc>
        <w:tc>
          <w:tcPr>
            <w:tcW w:w="3407" w:type="dxa"/>
            <w:tcBorders>
              <w:top w:val="nil"/>
              <w:left w:val="nil"/>
              <w:bottom w:val="single" w:color="auto" w:sz="8" w:space="0"/>
              <w:right w:val="nil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14:paraId="3C2CC0E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  <w:t>1050</w:t>
            </w:r>
          </w:p>
        </w:tc>
      </w:tr>
      <w:tr w14:paraId="07099A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1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14:paraId="0E3677A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  <w:t>流动资金：</w:t>
            </w:r>
          </w:p>
        </w:tc>
        <w:tc>
          <w:tcPr>
            <w:tcW w:w="3407" w:type="dxa"/>
            <w:tcBorders>
              <w:top w:val="nil"/>
              <w:left w:val="nil"/>
              <w:bottom w:val="single" w:color="auto" w:sz="8" w:space="0"/>
              <w:right w:val="nil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14:paraId="10F1769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  <w:t>100</w:t>
            </w:r>
          </w:p>
        </w:tc>
      </w:tr>
    </w:tbl>
    <w:p w14:paraId="59683CA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rPr>
          <w:rFonts w:hint="eastAsia" w:asciiTheme="minorEastAsia" w:hAnsiTheme="minorEastAsia" w:eastAsiaTheme="minorEastAsia" w:cstheme="minorEastAsia"/>
          <w:kern w:val="0"/>
          <w:sz w:val="22"/>
          <w:szCs w:val="22"/>
          <w:lang/>
        </w:rPr>
      </w:pPr>
      <w:r>
        <w:rPr>
          <w:rFonts w:hint="eastAsia" w:asciiTheme="minorEastAsia" w:hAnsiTheme="minorEastAsia" w:eastAsiaTheme="minorEastAsia" w:cstheme="minorEastAsia"/>
          <w:kern w:val="0"/>
          <w:sz w:val="22"/>
          <w:szCs w:val="22"/>
          <w:lang/>
        </w:rPr>
        <w:t>3．资金筹措和运用</w:t>
      </w:r>
    </w:p>
    <w:p w14:paraId="163CC05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rPr>
          <w:rFonts w:hint="eastAsia" w:asciiTheme="minorEastAsia" w:hAnsiTheme="minorEastAsia" w:eastAsiaTheme="minorEastAsia" w:cstheme="minorEastAsia"/>
          <w:kern w:val="0"/>
          <w:sz w:val="22"/>
          <w:szCs w:val="22"/>
          <w:lang/>
        </w:rPr>
      </w:pPr>
      <w:r>
        <w:rPr>
          <w:rFonts w:hint="eastAsia" w:asciiTheme="minorEastAsia" w:hAnsiTheme="minorEastAsia" w:eastAsiaTheme="minorEastAsia" w:cstheme="minorEastAsia"/>
          <w:kern w:val="0"/>
          <w:sz w:val="22"/>
          <w:szCs w:val="22"/>
          <w:lang/>
        </w:rPr>
        <w:t>（1）资金筹措</w:t>
      </w:r>
    </w:p>
    <w:p w14:paraId="769792A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rPr>
          <w:rFonts w:hint="eastAsia" w:asciiTheme="minorEastAsia" w:hAnsiTheme="minorEastAsia" w:eastAsiaTheme="minorEastAsia" w:cstheme="minorEastAsia"/>
          <w:kern w:val="0"/>
          <w:sz w:val="22"/>
          <w:szCs w:val="22"/>
          <w:lang/>
        </w:rPr>
      </w:pPr>
      <w:r>
        <w:rPr>
          <w:rFonts w:hint="eastAsia" w:asciiTheme="minorEastAsia" w:hAnsiTheme="minorEastAsia" w:eastAsiaTheme="minorEastAsia" w:cstheme="minorEastAsia"/>
          <w:kern w:val="0"/>
          <w:sz w:val="22"/>
          <w:szCs w:val="22"/>
          <w:lang/>
        </w:rPr>
        <w:t>本项目总投资11793.46万元，其中自有资金为4782.46万元，占项目总投资的40.55%；借款资金为7011万元，占项目总投资的59.45%。其中向建设银行借款6000万元，借款利率为6.2%，其余款项为商业银行借款，其中：流动资金借款为81万元，贷款利率为4.9%，基建借款为930万元，借款利率为6.4%。借款利息每年末偿还。</w:t>
      </w:r>
    </w:p>
    <w:p w14:paraId="669BF3E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rPr>
          <w:rFonts w:hint="eastAsia" w:asciiTheme="minorEastAsia" w:hAnsiTheme="minorEastAsia" w:eastAsiaTheme="minorEastAsia" w:cstheme="minorEastAsia"/>
          <w:kern w:val="0"/>
          <w:sz w:val="22"/>
          <w:szCs w:val="22"/>
          <w:lang/>
        </w:rPr>
      </w:pPr>
      <w:r>
        <w:rPr>
          <w:rFonts w:hint="eastAsia" w:asciiTheme="minorEastAsia" w:hAnsiTheme="minorEastAsia" w:eastAsiaTheme="minorEastAsia" w:cstheme="minorEastAsia"/>
          <w:kern w:val="0"/>
          <w:sz w:val="22"/>
          <w:szCs w:val="22"/>
          <w:lang/>
        </w:rPr>
        <w:t>（2）资金运用</w:t>
      </w:r>
    </w:p>
    <w:p w14:paraId="068BF79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rPr>
          <w:rFonts w:hint="eastAsia" w:asciiTheme="minorEastAsia" w:hAnsiTheme="minorEastAsia" w:eastAsiaTheme="minorEastAsia" w:cstheme="minorEastAsia"/>
          <w:kern w:val="0"/>
          <w:sz w:val="22"/>
          <w:szCs w:val="22"/>
          <w:lang/>
        </w:rPr>
      </w:pPr>
      <w:r>
        <w:rPr>
          <w:rFonts w:hint="eastAsia" w:asciiTheme="minorEastAsia" w:hAnsiTheme="minorEastAsia" w:eastAsiaTheme="minorEastAsia" w:cstheme="minorEastAsia"/>
          <w:kern w:val="0"/>
          <w:sz w:val="22"/>
          <w:szCs w:val="22"/>
          <w:lang/>
        </w:rPr>
        <w:t>本项目建设期29个月，横跨3个年度，其中开发成本按第1年投入25%，第2年投入35%，第3年投入40%。本金归还的资金来源于税后利润和折旧摊销等。流动资金贷款在建设期末借入，长期借款在建设期的三年分别借入，借款比例分别为25%，35%，40%。</w:t>
      </w:r>
    </w:p>
    <w:p w14:paraId="74E690D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rPr>
          <w:rFonts w:hint="eastAsia" w:asciiTheme="minorEastAsia" w:hAnsiTheme="minorEastAsia" w:eastAsiaTheme="minorEastAsia" w:cstheme="minorEastAsia"/>
          <w:kern w:val="0"/>
          <w:sz w:val="22"/>
          <w:szCs w:val="22"/>
          <w:lang/>
        </w:rPr>
      </w:pPr>
      <w:r>
        <w:rPr>
          <w:rFonts w:hint="eastAsia" w:asciiTheme="minorEastAsia" w:hAnsiTheme="minorEastAsia" w:eastAsiaTheme="minorEastAsia" w:cstheme="minorEastAsia"/>
          <w:kern w:val="0"/>
          <w:sz w:val="22"/>
          <w:szCs w:val="22"/>
          <w:lang/>
        </w:rPr>
        <w:t>表2 资金筹措表（单位：万元）</w:t>
      </w:r>
    </w:p>
    <w:tbl>
      <w:tblPr>
        <w:tblStyle w:val="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90"/>
        <w:gridCol w:w="2548"/>
        <w:gridCol w:w="1230"/>
        <w:gridCol w:w="1054"/>
        <w:gridCol w:w="1054"/>
        <w:gridCol w:w="1054"/>
        <w:gridCol w:w="791"/>
      </w:tblGrid>
      <w:tr w14:paraId="278CB3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50" w:type="pc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14:paraId="638A83D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  <w:t>序号</w:t>
            </w:r>
          </w:p>
        </w:tc>
        <w:tc>
          <w:tcPr>
            <w:tcW w:w="1450" w:type="pct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14:paraId="0A40DE0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  <w:t>项目</w:t>
            </w:r>
          </w:p>
        </w:tc>
        <w:tc>
          <w:tcPr>
            <w:tcW w:w="700" w:type="pct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14:paraId="625A891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  <w:t>合计</w:t>
            </w:r>
          </w:p>
        </w:tc>
        <w:tc>
          <w:tcPr>
            <w:tcW w:w="1800" w:type="pct"/>
            <w:gridSpan w:val="3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14:paraId="3E2960D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  <w:t>建设期</w:t>
            </w:r>
          </w:p>
        </w:tc>
        <w:tc>
          <w:tcPr>
            <w:tcW w:w="450" w:type="pct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14:paraId="65B81D4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  <w:t>运营期</w:t>
            </w:r>
          </w:p>
        </w:tc>
      </w:tr>
      <w:tr w14:paraId="1614F9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50" w:type="pc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14:paraId="67B0064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  <w:t> </w:t>
            </w:r>
          </w:p>
        </w:tc>
        <w:tc>
          <w:tcPr>
            <w:tcW w:w="14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14:paraId="7ECA318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  <w:t> </w:t>
            </w:r>
          </w:p>
        </w:tc>
        <w:tc>
          <w:tcPr>
            <w:tcW w:w="7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14:paraId="7F9E1DE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  <w:t> </w:t>
            </w:r>
          </w:p>
        </w:tc>
        <w:tc>
          <w:tcPr>
            <w:tcW w:w="6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14:paraId="0D82778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  <w:t>2006</w:t>
            </w:r>
          </w:p>
        </w:tc>
        <w:tc>
          <w:tcPr>
            <w:tcW w:w="6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14:paraId="7683A9E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  <w:t>2007</w:t>
            </w:r>
          </w:p>
        </w:tc>
        <w:tc>
          <w:tcPr>
            <w:tcW w:w="5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14:paraId="361875F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  <w:t>2008</w:t>
            </w:r>
          </w:p>
        </w:tc>
        <w:tc>
          <w:tcPr>
            <w:tcW w:w="4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14:paraId="54263F6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  <w:t>2009</w:t>
            </w:r>
          </w:p>
        </w:tc>
      </w:tr>
      <w:tr w14:paraId="3D63FA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50" w:type="pc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bottom"/>
          </w:tcPr>
          <w:p w14:paraId="3989CE2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  <w:t>　</w:t>
            </w:r>
          </w:p>
        </w:tc>
        <w:tc>
          <w:tcPr>
            <w:tcW w:w="14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bottom"/>
          </w:tcPr>
          <w:p w14:paraId="2E03103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  <w:t>资金分年度使用计划</w:t>
            </w:r>
          </w:p>
        </w:tc>
        <w:tc>
          <w:tcPr>
            <w:tcW w:w="7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bottom"/>
          </w:tcPr>
          <w:p w14:paraId="5E37A84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  <w:t> </w:t>
            </w:r>
          </w:p>
        </w:tc>
        <w:tc>
          <w:tcPr>
            <w:tcW w:w="6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bottom"/>
          </w:tcPr>
          <w:p w14:paraId="61AA33A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  <w:t>25%</w:t>
            </w:r>
          </w:p>
        </w:tc>
        <w:tc>
          <w:tcPr>
            <w:tcW w:w="6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bottom"/>
          </w:tcPr>
          <w:p w14:paraId="02946F8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  <w:t>35%</w:t>
            </w:r>
          </w:p>
        </w:tc>
        <w:tc>
          <w:tcPr>
            <w:tcW w:w="5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bottom"/>
          </w:tcPr>
          <w:p w14:paraId="0BCABB2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  <w:t>40%</w:t>
            </w:r>
          </w:p>
        </w:tc>
        <w:tc>
          <w:tcPr>
            <w:tcW w:w="4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bottom"/>
          </w:tcPr>
          <w:p w14:paraId="583B89A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  <w:t> </w:t>
            </w:r>
          </w:p>
        </w:tc>
      </w:tr>
      <w:tr w14:paraId="46A8E1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50" w:type="pc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bottom"/>
          </w:tcPr>
          <w:p w14:paraId="54F0AD2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  <w:t>1</w:t>
            </w:r>
          </w:p>
        </w:tc>
        <w:tc>
          <w:tcPr>
            <w:tcW w:w="14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bottom"/>
          </w:tcPr>
          <w:p w14:paraId="10C70C6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  <w:t>总投资</w:t>
            </w:r>
          </w:p>
        </w:tc>
        <w:tc>
          <w:tcPr>
            <w:tcW w:w="7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bottom"/>
          </w:tcPr>
          <w:p w14:paraId="450FDBA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  <w:t>11793.46</w:t>
            </w:r>
          </w:p>
        </w:tc>
        <w:tc>
          <w:tcPr>
            <w:tcW w:w="6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bottom"/>
          </w:tcPr>
          <w:p w14:paraId="7C92D18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  <w:t>2923.37</w:t>
            </w:r>
          </w:p>
        </w:tc>
        <w:tc>
          <w:tcPr>
            <w:tcW w:w="6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bottom"/>
          </w:tcPr>
          <w:p w14:paraId="685C37A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  <w:t>4092.71</w:t>
            </w:r>
          </w:p>
        </w:tc>
        <w:tc>
          <w:tcPr>
            <w:tcW w:w="5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bottom"/>
          </w:tcPr>
          <w:p w14:paraId="5DE47E8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  <w:t>4677.38</w:t>
            </w:r>
          </w:p>
        </w:tc>
        <w:tc>
          <w:tcPr>
            <w:tcW w:w="4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bottom"/>
          </w:tcPr>
          <w:p w14:paraId="4D03C63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  <w:t>100</w:t>
            </w:r>
          </w:p>
        </w:tc>
      </w:tr>
      <w:tr w14:paraId="750F38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50" w:type="pc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bottom"/>
          </w:tcPr>
          <w:p w14:paraId="52A30B4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  <w:t>1.1</w:t>
            </w:r>
          </w:p>
        </w:tc>
        <w:tc>
          <w:tcPr>
            <w:tcW w:w="14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bottom"/>
          </w:tcPr>
          <w:p w14:paraId="0344177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  <w:t>开发成本</w:t>
            </w:r>
          </w:p>
        </w:tc>
        <w:tc>
          <w:tcPr>
            <w:tcW w:w="7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bottom"/>
          </w:tcPr>
          <w:p w14:paraId="3771ABC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  <w:t>10643.46</w:t>
            </w:r>
          </w:p>
        </w:tc>
        <w:tc>
          <w:tcPr>
            <w:tcW w:w="6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bottom"/>
          </w:tcPr>
          <w:p w14:paraId="39E3832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  <w:t>2660.87</w:t>
            </w:r>
          </w:p>
        </w:tc>
        <w:tc>
          <w:tcPr>
            <w:tcW w:w="6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bottom"/>
          </w:tcPr>
          <w:p w14:paraId="290DDA5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  <w:t>3725.21</w:t>
            </w:r>
          </w:p>
        </w:tc>
        <w:tc>
          <w:tcPr>
            <w:tcW w:w="5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bottom"/>
          </w:tcPr>
          <w:p w14:paraId="0A514B9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  <w:t>4257.38</w:t>
            </w:r>
          </w:p>
        </w:tc>
        <w:tc>
          <w:tcPr>
            <w:tcW w:w="4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bottom"/>
          </w:tcPr>
          <w:p w14:paraId="3E59CAF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  <w:t> </w:t>
            </w:r>
          </w:p>
        </w:tc>
      </w:tr>
      <w:tr w14:paraId="1254B4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50" w:type="pc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bottom"/>
          </w:tcPr>
          <w:p w14:paraId="475785E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  <w:t>1.2</w:t>
            </w:r>
          </w:p>
        </w:tc>
        <w:tc>
          <w:tcPr>
            <w:tcW w:w="14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bottom"/>
          </w:tcPr>
          <w:p w14:paraId="5E1F867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  <w:t>开发费用</w:t>
            </w:r>
          </w:p>
        </w:tc>
        <w:tc>
          <w:tcPr>
            <w:tcW w:w="7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bottom"/>
          </w:tcPr>
          <w:p w14:paraId="6A759F5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  <w:t>1050</w:t>
            </w:r>
          </w:p>
        </w:tc>
        <w:tc>
          <w:tcPr>
            <w:tcW w:w="6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bottom"/>
          </w:tcPr>
          <w:p w14:paraId="0FB8177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  <w:t>262.50</w:t>
            </w:r>
          </w:p>
        </w:tc>
        <w:tc>
          <w:tcPr>
            <w:tcW w:w="6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bottom"/>
          </w:tcPr>
          <w:p w14:paraId="7410191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  <w:t>367.50</w:t>
            </w:r>
          </w:p>
        </w:tc>
        <w:tc>
          <w:tcPr>
            <w:tcW w:w="5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bottom"/>
          </w:tcPr>
          <w:p w14:paraId="62558E0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  <w:t>420</w:t>
            </w:r>
          </w:p>
        </w:tc>
        <w:tc>
          <w:tcPr>
            <w:tcW w:w="4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bottom"/>
          </w:tcPr>
          <w:p w14:paraId="6620F03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  <w:t> </w:t>
            </w:r>
          </w:p>
        </w:tc>
      </w:tr>
      <w:tr w14:paraId="275D71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50" w:type="pc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bottom"/>
          </w:tcPr>
          <w:p w14:paraId="425FCE6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  <w:t>1.3</w:t>
            </w:r>
          </w:p>
        </w:tc>
        <w:tc>
          <w:tcPr>
            <w:tcW w:w="14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bottom"/>
          </w:tcPr>
          <w:p w14:paraId="71BFA93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  <w:t>流动资金</w:t>
            </w:r>
          </w:p>
        </w:tc>
        <w:tc>
          <w:tcPr>
            <w:tcW w:w="7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bottom"/>
          </w:tcPr>
          <w:p w14:paraId="25605D3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  <w:t>100</w:t>
            </w:r>
          </w:p>
        </w:tc>
        <w:tc>
          <w:tcPr>
            <w:tcW w:w="6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bottom"/>
          </w:tcPr>
          <w:p w14:paraId="727B9AA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  <w:t> </w:t>
            </w:r>
          </w:p>
        </w:tc>
        <w:tc>
          <w:tcPr>
            <w:tcW w:w="6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bottom"/>
          </w:tcPr>
          <w:p w14:paraId="15BCEE5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bottom"/>
          </w:tcPr>
          <w:p w14:paraId="746E7BA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  <w:t> </w:t>
            </w:r>
          </w:p>
        </w:tc>
        <w:tc>
          <w:tcPr>
            <w:tcW w:w="4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bottom"/>
          </w:tcPr>
          <w:p w14:paraId="02D22C2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  <w:t>100</w:t>
            </w:r>
          </w:p>
        </w:tc>
      </w:tr>
      <w:tr w14:paraId="6E57C4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50" w:type="pc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bottom"/>
          </w:tcPr>
          <w:p w14:paraId="4636B0D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  <w:t>2</w:t>
            </w:r>
          </w:p>
        </w:tc>
        <w:tc>
          <w:tcPr>
            <w:tcW w:w="14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bottom"/>
          </w:tcPr>
          <w:p w14:paraId="2C17911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  <w:t>资金筹措</w:t>
            </w:r>
          </w:p>
        </w:tc>
        <w:tc>
          <w:tcPr>
            <w:tcW w:w="7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bottom"/>
          </w:tcPr>
          <w:p w14:paraId="57EF87F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  <w:t>11793.46</w:t>
            </w:r>
          </w:p>
        </w:tc>
        <w:tc>
          <w:tcPr>
            <w:tcW w:w="6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bottom"/>
          </w:tcPr>
          <w:p w14:paraId="6DBC48B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  <w:t>2923.37</w:t>
            </w:r>
          </w:p>
        </w:tc>
        <w:tc>
          <w:tcPr>
            <w:tcW w:w="6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bottom"/>
          </w:tcPr>
          <w:p w14:paraId="2A11F22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  <w:t>4092.71</w:t>
            </w:r>
          </w:p>
        </w:tc>
        <w:tc>
          <w:tcPr>
            <w:tcW w:w="5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bottom"/>
          </w:tcPr>
          <w:p w14:paraId="3B65C67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  <w:t>4677.38</w:t>
            </w:r>
          </w:p>
        </w:tc>
        <w:tc>
          <w:tcPr>
            <w:tcW w:w="4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bottom"/>
          </w:tcPr>
          <w:p w14:paraId="1770F8A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  <w:t>100</w:t>
            </w:r>
          </w:p>
        </w:tc>
      </w:tr>
      <w:tr w14:paraId="3AD0FA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50" w:type="pc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bottom"/>
          </w:tcPr>
          <w:p w14:paraId="2CA1807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  <w:t>2.1</w:t>
            </w:r>
          </w:p>
        </w:tc>
        <w:tc>
          <w:tcPr>
            <w:tcW w:w="14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bottom"/>
          </w:tcPr>
          <w:p w14:paraId="708C045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  <w:t>自有资金</w:t>
            </w:r>
          </w:p>
        </w:tc>
        <w:tc>
          <w:tcPr>
            <w:tcW w:w="7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bottom"/>
          </w:tcPr>
          <w:p w14:paraId="04BAE55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  <w:t>4782.46</w:t>
            </w:r>
          </w:p>
        </w:tc>
        <w:tc>
          <w:tcPr>
            <w:tcW w:w="6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bottom"/>
          </w:tcPr>
          <w:p w14:paraId="0F076A2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  <w:t>1190.87</w:t>
            </w:r>
          </w:p>
        </w:tc>
        <w:tc>
          <w:tcPr>
            <w:tcW w:w="6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bottom"/>
          </w:tcPr>
          <w:p w14:paraId="31F6089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  <w:t>1667.21</w:t>
            </w:r>
          </w:p>
        </w:tc>
        <w:tc>
          <w:tcPr>
            <w:tcW w:w="5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bottom"/>
          </w:tcPr>
          <w:p w14:paraId="5F8658A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  <w:t>1905.38</w:t>
            </w:r>
          </w:p>
        </w:tc>
        <w:tc>
          <w:tcPr>
            <w:tcW w:w="4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bottom"/>
          </w:tcPr>
          <w:p w14:paraId="1483F79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  <w:t>19</w:t>
            </w:r>
          </w:p>
        </w:tc>
      </w:tr>
      <w:tr w14:paraId="7E0D12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50" w:type="pc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bottom"/>
          </w:tcPr>
          <w:p w14:paraId="448307D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  <w:t>2.1.1</w:t>
            </w:r>
          </w:p>
        </w:tc>
        <w:tc>
          <w:tcPr>
            <w:tcW w:w="14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bottom"/>
          </w:tcPr>
          <w:p w14:paraId="34E02C3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  <w:t>用于固定资产投资</w:t>
            </w:r>
          </w:p>
        </w:tc>
        <w:tc>
          <w:tcPr>
            <w:tcW w:w="7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bottom"/>
          </w:tcPr>
          <w:p w14:paraId="0FFABD1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  <w:t>4763.46</w:t>
            </w:r>
          </w:p>
        </w:tc>
        <w:tc>
          <w:tcPr>
            <w:tcW w:w="6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bottom"/>
          </w:tcPr>
          <w:p w14:paraId="5F40522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  <w:t>1190.87</w:t>
            </w:r>
          </w:p>
        </w:tc>
        <w:tc>
          <w:tcPr>
            <w:tcW w:w="6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bottom"/>
          </w:tcPr>
          <w:p w14:paraId="578EC0A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  <w:t>1667.21</w:t>
            </w:r>
          </w:p>
        </w:tc>
        <w:tc>
          <w:tcPr>
            <w:tcW w:w="5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bottom"/>
          </w:tcPr>
          <w:p w14:paraId="0B12056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  <w:t>1905.38</w:t>
            </w:r>
          </w:p>
        </w:tc>
        <w:tc>
          <w:tcPr>
            <w:tcW w:w="4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bottom"/>
          </w:tcPr>
          <w:p w14:paraId="116C322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  <w:t> </w:t>
            </w:r>
          </w:p>
        </w:tc>
      </w:tr>
      <w:tr w14:paraId="2D89D3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50" w:type="pc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bottom"/>
          </w:tcPr>
          <w:p w14:paraId="4E528A5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  <w:t>2.1.2</w:t>
            </w:r>
          </w:p>
        </w:tc>
        <w:tc>
          <w:tcPr>
            <w:tcW w:w="14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bottom"/>
          </w:tcPr>
          <w:p w14:paraId="3B799CD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  <w:t>流动资金</w:t>
            </w:r>
          </w:p>
        </w:tc>
        <w:tc>
          <w:tcPr>
            <w:tcW w:w="7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bottom"/>
          </w:tcPr>
          <w:p w14:paraId="001A7B3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  <w:t>19</w:t>
            </w:r>
          </w:p>
        </w:tc>
        <w:tc>
          <w:tcPr>
            <w:tcW w:w="6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bottom"/>
          </w:tcPr>
          <w:p w14:paraId="74D3C9A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  <w:t> </w:t>
            </w:r>
          </w:p>
        </w:tc>
        <w:tc>
          <w:tcPr>
            <w:tcW w:w="6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bottom"/>
          </w:tcPr>
          <w:p w14:paraId="49EB062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bottom"/>
          </w:tcPr>
          <w:p w14:paraId="4A0B361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  <w:t> </w:t>
            </w:r>
          </w:p>
        </w:tc>
        <w:tc>
          <w:tcPr>
            <w:tcW w:w="4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bottom"/>
          </w:tcPr>
          <w:p w14:paraId="2BD6A29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  <w:t>19</w:t>
            </w:r>
          </w:p>
        </w:tc>
      </w:tr>
      <w:tr w14:paraId="458ED7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50" w:type="pc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bottom"/>
          </w:tcPr>
          <w:p w14:paraId="1B95028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  <w:t>2.2</w:t>
            </w:r>
          </w:p>
        </w:tc>
        <w:tc>
          <w:tcPr>
            <w:tcW w:w="14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bottom"/>
          </w:tcPr>
          <w:p w14:paraId="094742F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  <w:t>借款</w:t>
            </w:r>
          </w:p>
        </w:tc>
        <w:tc>
          <w:tcPr>
            <w:tcW w:w="7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bottom"/>
          </w:tcPr>
          <w:p w14:paraId="6D83087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  <w:t>7011</w:t>
            </w:r>
          </w:p>
        </w:tc>
        <w:tc>
          <w:tcPr>
            <w:tcW w:w="6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bottom"/>
          </w:tcPr>
          <w:p w14:paraId="3A7DEED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  <w:t>1732.50</w:t>
            </w:r>
          </w:p>
        </w:tc>
        <w:tc>
          <w:tcPr>
            <w:tcW w:w="6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bottom"/>
          </w:tcPr>
          <w:p w14:paraId="4B7787E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  <w:t>2425.50</w:t>
            </w:r>
          </w:p>
        </w:tc>
        <w:tc>
          <w:tcPr>
            <w:tcW w:w="5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bottom"/>
          </w:tcPr>
          <w:p w14:paraId="29D868B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  <w:t>2772.00</w:t>
            </w:r>
          </w:p>
        </w:tc>
        <w:tc>
          <w:tcPr>
            <w:tcW w:w="4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bottom"/>
          </w:tcPr>
          <w:p w14:paraId="391A4C4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  <w:t>81</w:t>
            </w:r>
          </w:p>
        </w:tc>
      </w:tr>
      <w:tr w14:paraId="2A999D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50" w:type="pc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bottom"/>
          </w:tcPr>
          <w:p w14:paraId="14E7A6E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  <w:t>2.2.1</w:t>
            </w:r>
          </w:p>
        </w:tc>
        <w:tc>
          <w:tcPr>
            <w:tcW w:w="14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bottom"/>
          </w:tcPr>
          <w:p w14:paraId="69A4292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  <w:t>长期借款</w:t>
            </w:r>
          </w:p>
        </w:tc>
        <w:tc>
          <w:tcPr>
            <w:tcW w:w="7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bottom"/>
          </w:tcPr>
          <w:p w14:paraId="4D50475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  <w:t>6930</w:t>
            </w:r>
          </w:p>
        </w:tc>
        <w:tc>
          <w:tcPr>
            <w:tcW w:w="6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bottom"/>
          </w:tcPr>
          <w:p w14:paraId="48CD9D3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  <w:t>1732.50</w:t>
            </w:r>
          </w:p>
        </w:tc>
        <w:tc>
          <w:tcPr>
            <w:tcW w:w="6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bottom"/>
          </w:tcPr>
          <w:p w14:paraId="5DDDDC6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  <w:t>2425.50</w:t>
            </w:r>
          </w:p>
        </w:tc>
        <w:tc>
          <w:tcPr>
            <w:tcW w:w="5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bottom"/>
          </w:tcPr>
          <w:p w14:paraId="4828FA5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  <w:t>2772.00</w:t>
            </w:r>
          </w:p>
        </w:tc>
        <w:tc>
          <w:tcPr>
            <w:tcW w:w="4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bottom"/>
          </w:tcPr>
          <w:p w14:paraId="3C8FCC2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  <w:t> </w:t>
            </w:r>
          </w:p>
        </w:tc>
      </w:tr>
      <w:tr w14:paraId="655C53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50" w:type="pc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bottom"/>
          </w:tcPr>
          <w:p w14:paraId="669EC4C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  <w:t>2.2.2</w:t>
            </w:r>
          </w:p>
        </w:tc>
        <w:tc>
          <w:tcPr>
            <w:tcW w:w="14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bottom"/>
          </w:tcPr>
          <w:p w14:paraId="7F367B9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  <w:t>流动资金借款</w:t>
            </w:r>
          </w:p>
        </w:tc>
        <w:tc>
          <w:tcPr>
            <w:tcW w:w="7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bottom"/>
          </w:tcPr>
          <w:p w14:paraId="129D117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  <w:t>81</w:t>
            </w:r>
          </w:p>
        </w:tc>
        <w:tc>
          <w:tcPr>
            <w:tcW w:w="6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bottom"/>
          </w:tcPr>
          <w:p w14:paraId="4DC56B0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  <w:t> </w:t>
            </w:r>
          </w:p>
        </w:tc>
        <w:tc>
          <w:tcPr>
            <w:tcW w:w="6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bottom"/>
          </w:tcPr>
          <w:p w14:paraId="3B31ED4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bottom"/>
          </w:tcPr>
          <w:p w14:paraId="6318165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  <w:t> </w:t>
            </w:r>
          </w:p>
        </w:tc>
        <w:tc>
          <w:tcPr>
            <w:tcW w:w="4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bottom"/>
          </w:tcPr>
          <w:p w14:paraId="4D1200F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2"/>
                <w:szCs w:val="22"/>
                <w:lang/>
              </w:rPr>
              <w:t>81</w:t>
            </w:r>
          </w:p>
        </w:tc>
      </w:tr>
    </w:tbl>
    <w:p w14:paraId="48EE038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rPr>
          <w:rFonts w:hint="eastAsia" w:asciiTheme="minorEastAsia" w:hAnsiTheme="minorEastAsia" w:eastAsiaTheme="minorEastAsia" w:cstheme="minorEastAsia"/>
          <w:kern w:val="0"/>
          <w:sz w:val="22"/>
          <w:szCs w:val="22"/>
          <w:lang/>
        </w:rPr>
      </w:pPr>
      <w:r>
        <w:rPr>
          <w:rFonts w:hint="eastAsia" w:asciiTheme="minorEastAsia" w:hAnsiTheme="minorEastAsia" w:eastAsiaTheme="minorEastAsia" w:cstheme="minorEastAsia"/>
          <w:kern w:val="0"/>
          <w:sz w:val="22"/>
          <w:szCs w:val="22"/>
          <w:lang/>
        </w:rPr>
        <w:t>（三）财务评价资料</w:t>
      </w:r>
    </w:p>
    <w:p w14:paraId="32F8FD6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rPr>
          <w:rFonts w:hint="eastAsia" w:asciiTheme="minorEastAsia" w:hAnsiTheme="minorEastAsia" w:eastAsiaTheme="minorEastAsia" w:cstheme="minorEastAsia"/>
          <w:kern w:val="0"/>
          <w:sz w:val="22"/>
          <w:szCs w:val="22"/>
          <w:lang/>
        </w:rPr>
      </w:pPr>
      <w:r>
        <w:rPr>
          <w:rFonts w:hint="eastAsia" w:asciiTheme="minorEastAsia" w:hAnsiTheme="minorEastAsia" w:eastAsiaTheme="minorEastAsia" w:cstheme="minorEastAsia"/>
          <w:kern w:val="0"/>
          <w:sz w:val="22"/>
          <w:szCs w:val="22"/>
          <w:lang/>
        </w:rPr>
        <w:t>1.运营收入及税金测算</w:t>
      </w:r>
    </w:p>
    <w:p w14:paraId="0942270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rPr>
          <w:rFonts w:hint="eastAsia" w:asciiTheme="minorEastAsia" w:hAnsiTheme="minorEastAsia" w:eastAsiaTheme="minorEastAsia" w:cstheme="minorEastAsia"/>
          <w:kern w:val="0"/>
          <w:sz w:val="22"/>
          <w:szCs w:val="22"/>
          <w:lang/>
        </w:rPr>
      </w:pPr>
      <w:r>
        <w:rPr>
          <w:rFonts w:hint="eastAsia" w:asciiTheme="minorEastAsia" w:hAnsiTheme="minorEastAsia" w:eastAsiaTheme="minorEastAsia" w:cstheme="minorEastAsia"/>
          <w:kern w:val="0"/>
          <w:sz w:val="22"/>
          <w:szCs w:val="22"/>
          <w:lang/>
        </w:rPr>
        <w:t>龙跃公司打算以固定资产方式对外出租东方大厦，写字楼转入固定资产视同销售环节，缴纳企业所得税，不缴纳土地增值税，同时固定资产提取折旧。项目财务收入来源主要是租赁收入，据估算， 2009—2013的租赁收入每年为 1600万元，2014—2018年的租赁收入每年1800万元，2019—2023的租赁收入每年为 1950万元，2024—2028的租赁收入每年为 1800万元，其中营业税及附加，租金×5.55%；房产税，租金×12%；所得税，所得部分×20%；印花税，租金×0.1%（在第一次缴税时一次性缴纳，按租期内所有总租金计算）。2029年初写字楼销售价格为9000万元，评估价格为7000万元，写字楼销售按销售旧房缴纳土地增值税，写字楼评估价7000万元，增值率(9000-7000-500)÷(7000+500)=20%，土地增值税税率为30%，应缴纳土地增值税（9000-7000-500）×30%=450万元。</w:t>
      </w:r>
    </w:p>
    <w:p w14:paraId="595334A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rPr>
          <w:rFonts w:hint="eastAsia" w:asciiTheme="minorEastAsia" w:hAnsiTheme="minorEastAsia" w:eastAsiaTheme="minorEastAsia" w:cstheme="minorEastAsia"/>
          <w:kern w:val="0"/>
          <w:sz w:val="22"/>
          <w:szCs w:val="22"/>
          <w:lang/>
        </w:rPr>
      </w:pPr>
      <w:r>
        <w:rPr>
          <w:rFonts w:hint="eastAsia" w:asciiTheme="minorEastAsia" w:hAnsiTheme="minorEastAsia" w:eastAsiaTheme="minorEastAsia" w:cstheme="minorEastAsia"/>
          <w:kern w:val="0"/>
          <w:sz w:val="22"/>
          <w:szCs w:val="22"/>
          <w:lang/>
        </w:rPr>
        <w:t>2.总成本估算</w:t>
      </w:r>
    </w:p>
    <w:p w14:paraId="26C36F4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rPr>
          <w:rFonts w:hint="eastAsia" w:asciiTheme="minorEastAsia" w:hAnsiTheme="minorEastAsia" w:eastAsiaTheme="minorEastAsia" w:cstheme="minorEastAsia"/>
          <w:kern w:val="0"/>
          <w:sz w:val="22"/>
          <w:szCs w:val="22"/>
          <w:lang/>
        </w:rPr>
      </w:pPr>
      <w:r>
        <w:rPr>
          <w:rFonts w:hint="eastAsia" w:asciiTheme="minorEastAsia" w:hAnsiTheme="minorEastAsia" w:eastAsiaTheme="minorEastAsia" w:cstheme="minorEastAsia"/>
          <w:kern w:val="0"/>
          <w:sz w:val="22"/>
          <w:szCs w:val="22"/>
          <w:lang/>
        </w:rPr>
        <w:t>（1）写字楼折旧年限为20年，采用直线法折旧。</w:t>
      </w:r>
    </w:p>
    <w:p w14:paraId="5078A73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rPr>
          <w:rFonts w:hint="eastAsia" w:asciiTheme="minorEastAsia" w:hAnsiTheme="minorEastAsia" w:eastAsiaTheme="minorEastAsia" w:cstheme="minorEastAsia"/>
          <w:kern w:val="0"/>
          <w:sz w:val="22"/>
          <w:szCs w:val="22"/>
          <w:lang/>
        </w:rPr>
      </w:pPr>
      <w:r>
        <w:rPr>
          <w:rFonts w:hint="eastAsia" w:asciiTheme="minorEastAsia" w:hAnsiTheme="minorEastAsia" w:eastAsiaTheme="minorEastAsia" w:cstheme="minorEastAsia"/>
          <w:kern w:val="0"/>
          <w:sz w:val="22"/>
          <w:szCs w:val="22"/>
          <w:lang/>
        </w:rPr>
        <w:t>（2）人工工资经测算营运起始年工资基数按30万元/年计，以后每五年增长一次，增长率为2%。</w:t>
      </w:r>
    </w:p>
    <w:p w14:paraId="45B1D58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rPr>
          <w:rFonts w:hint="eastAsia" w:asciiTheme="minorEastAsia" w:hAnsiTheme="minorEastAsia" w:eastAsiaTheme="minorEastAsia" w:cstheme="minorEastAsia"/>
          <w:kern w:val="0"/>
          <w:sz w:val="22"/>
          <w:szCs w:val="22"/>
          <w:lang/>
        </w:rPr>
      </w:pPr>
      <w:r>
        <w:rPr>
          <w:rFonts w:hint="eastAsia" w:asciiTheme="minorEastAsia" w:hAnsiTheme="minorEastAsia" w:eastAsiaTheme="minorEastAsia" w:cstheme="minorEastAsia"/>
          <w:kern w:val="0"/>
          <w:sz w:val="22"/>
          <w:szCs w:val="22"/>
          <w:lang/>
        </w:rPr>
        <w:t>（3）维护保养按开发总成本的0.01%计算。</w:t>
      </w:r>
    </w:p>
    <w:p w14:paraId="7396E33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rPr>
          <w:rFonts w:hint="eastAsia" w:asciiTheme="minorEastAsia" w:hAnsiTheme="minorEastAsia" w:eastAsiaTheme="minorEastAsia" w:cstheme="minorEastAsia"/>
          <w:kern w:val="0"/>
          <w:sz w:val="22"/>
          <w:szCs w:val="22"/>
          <w:lang/>
        </w:rPr>
      </w:pPr>
      <w:r>
        <w:rPr>
          <w:rFonts w:hint="eastAsia" w:asciiTheme="minorEastAsia" w:hAnsiTheme="minorEastAsia" w:eastAsiaTheme="minorEastAsia" w:cstheme="minorEastAsia"/>
          <w:kern w:val="0"/>
          <w:sz w:val="22"/>
          <w:szCs w:val="22"/>
          <w:lang/>
        </w:rPr>
        <w:t>（4）计提大修基金：按每十年进行一次大修，起始年大修费用按开发总成本的1%计算，在此基础上，以后每五年增长一次，增长率为5%。</w:t>
      </w:r>
    </w:p>
    <w:p w14:paraId="6921FAE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rPr>
          <w:rFonts w:hint="eastAsia" w:asciiTheme="minorEastAsia" w:hAnsiTheme="minorEastAsia" w:eastAsiaTheme="minorEastAsia" w:cstheme="minorEastAsia"/>
          <w:kern w:val="0"/>
          <w:sz w:val="22"/>
          <w:szCs w:val="22"/>
          <w:lang/>
        </w:rPr>
      </w:pPr>
      <w:r>
        <w:rPr>
          <w:rFonts w:hint="eastAsia" w:asciiTheme="minorEastAsia" w:hAnsiTheme="minorEastAsia" w:eastAsiaTheme="minorEastAsia" w:cstheme="minorEastAsia"/>
          <w:kern w:val="0"/>
          <w:sz w:val="22"/>
          <w:szCs w:val="22"/>
          <w:lang/>
        </w:rPr>
        <w:t>（5）财务费用包括长期借款利息和流动资金借款利息。经测算，其他费用在营运起始年为1.8万元，以后每年按1%的增长率增长。</w:t>
      </w:r>
    </w:p>
    <w:p w14:paraId="75873FE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rPr>
          <w:rFonts w:hint="eastAsia" w:asciiTheme="minorEastAsia" w:hAnsiTheme="minorEastAsia" w:eastAsiaTheme="minorEastAsia" w:cstheme="minorEastAsia"/>
          <w:kern w:val="0"/>
          <w:sz w:val="22"/>
          <w:szCs w:val="22"/>
          <w:lang/>
        </w:rPr>
      </w:pPr>
      <w:r>
        <w:rPr>
          <w:rFonts w:hint="eastAsia" w:asciiTheme="minorEastAsia" w:hAnsiTheme="minorEastAsia" w:eastAsiaTheme="minorEastAsia" w:cstheme="minorEastAsia"/>
          <w:kern w:val="0"/>
          <w:sz w:val="22"/>
          <w:szCs w:val="22"/>
          <w:lang/>
        </w:rPr>
        <w:t>3.利润估算</w:t>
      </w:r>
    </w:p>
    <w:p w14:paraId="03ABE28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rPr>
          <w:rFonts w:hint="eastAsia" w:asciiTheme="minorEastAsia" w:hAnsiTheme="minorEastAsia" w:eastAsiaTheme="minorEastAsia" w:cstheme="minorEastAsia"/>
          <w:kern w:val="0"/>
          <w:sz w:val="22"/>
          <w:szCs w:val="22"/>
          <w:lang/>
        </w:rPr>
      </w:pPr>
      <w:r>
        <w:rPr>
          <w:rFonts w:hint="eastAsia" w:asciiTheme="minorEastAsia" w:hAnsiTheme="minorEastAsia" w:eastAsiaTheme="minorEastAsia" w:cstheme="minorEastAsia"/>
          <w:kern w:val="0"/>
          <w:sz w:val="22"/>
          <w:szCs w:val="22"/>
          <w:lang/>
        </w:rPr>
        <w:t>根据总成本费用和营业收入及税金估算表，编制本项目的利润表。本项目所得税税率为20%。还款期间不提取盈余公积，贷款还完后可按税后利润的10%提取。</w:t>
      </w:r>
    </w:p>
    <w:p w14:paraId="63DDDB8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rPr>
          <w:rFonts w:hint="eastAsia" w:asciiTheme="minorEastAsia" w:hAnsiTheme="minorEastAsia" w:eastAsiaTheme="minorEastAsia" w:cstheme="minorEastAsia"/>
          <w:kern w:val="0"/>
          <w:sz w:val="22"/>
          <w:szCs w:val="22"/>
          <w:lang/>
        </w:rPr>
      </w:pPr>
      <w:r>
        <w:rPr>
          <w:rFonts w:hint="eastAsia" w:asciiTheme="minorEastAsia" w:hAnsiTheme="minorEastAsia" w:eastAsiaTheme="minorEastAsia" w:cstheme="minorEastAsia"/>
          <w:kern w:val="0"/>
          <w:sz w:val="22"/>
          <w:szCs w:val="22"/>
          <w:lang/>
        </w:rPr>
        <w:t>4.其他有关资料：一年期存款利率为2.25%，按年付息的商业贷款利率为5.31%，一年期国债利率2.6%。</w:t>
      </w:r>
    </w:p>
    <w:p w14:paraId="729C8EE7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2"/>
        </w:rPr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1CF8CE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A90BE8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877038"/>
    <w:rsid w:val="31A9289B"/>
    <w:rsid w:val="4EEC6E09"/>
    <w:rsid w:val="511777BB"/>
    <w:rsid w:val="5BF21357"/>
    <w:rsid w:val="6DF92C2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3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12</Pages>
  <Words>4141</Words>
  <Characters>5464</Characters>
  <TotalTime>17</TotalTime>
  <ScaleCrop>false</ScaleCrop>
  <LinksUpToDate>false</LinksUpToDate>
  <CharactersWithSpaces>5511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2025-11-30T09:26:00Z</dcterms:created>
  <dc:creator>Apache POI</dc:creator>
  <cp:lastModifiedBy>七月</cp:lastModifiedBy>
  <dcterms:modified xsi:type="dcterms:W3CDTF">2025-11-30T09:55:56Z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B0520C13616E4BA88A6D617AE5D3D3A2_13</vt:lpwstr>
  </property>
  <property fmtid="{D5CDD505-2E9C-101B-9397-08002B2CF9AE}" pid="4" name="KSOTemplateDocerSaveRecord">
    <vt:lpwstr>eyJoZGlkIjoiMTkwZjhiMmQ5MzMzMGM3NDMyZGVlZjcxNzJmMDM2MDciLCJ1c2VySWQiOiIxMjkzOTQzOTA3In0=</vt:lpwstr>
  </property>
</Properties>
</file>