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59" w:rsidRPr="00645154" w:rsidRDefault="00915BAC" w:rsidP="00645154">
      <w:pPr>
        <w:jc w:val="center"/>
        <w:rPr>
          <w:b/>
          <w:sz w:val="28"/>
        </w:rPr>
      </w:pPr>
      <w:r w:rsidRPr="00645154">
        <w:rPr>
          <w:b/>
          <w:sz w:val="28"/>
        </w:rPr>
        <w:t>Chapter 12 Dataset Codebook</w:t>
      </w:r>
    </w:p>
    <w:p w:rsidR="00915BAC" w:rsidRDefault="00915BAC"/>
    <w:p w:rsidR="00915BAC" w:rsidRDefault="00645154" w:rsidP="00915BAC">
      <w:pPr>
        <w:pStyle w:val="Heading1"/>
      </w:pPr>
      <w:r>
        <w:t>D</w:t>
      </w:r>
      <w:r w:rsidR="00915BAC">
        <w:t>ataset: CORR_HBA1C</w:t>
      </w:r>
    </w:p>
    <w:p w:rsidR="00915BAC" w:rsidRDefault="00915BAC" w:rsidP="00915BAC">
      <w:r>
        <w:t xml:space="preserve">This dataset </w:t>
      </w:r>
      <w:r>
        <w:t>is a random sample of 15 adult participants from the Cen</w:t>
      </w:r>
      <w:r w:rsidR="00086020">
        <w:t xml:space="preserve">ter for Outpatient Health study, who had no missing values for </w:t>
      </w:r>
      <w:proofErr w:type="gramStart"/>
      <w:r w:rsidR="00086020">
        <w:t>A1c</w:t>
      </w:r>
      <w:proofErr w:type="gramEnd"/>
      <w:r w:rsidR="00086020">
        <w:t xml:space="preserve"> and weight.</w:t>
      </w:r>
    </w:p>
    <w:p w:rsidR="00915BAC" w:rsidRDefault="00915BAC" w:rsidP="00915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915BAC" w:rsidRPr="00780D1B" w:rsidTr="00430806">
        <w:tc>
          <w:tcPr>
            <w:tcW w:w="2515" w:type="dxa"/>
          </w:tcPr>
          <w:p w:rsidR="00915BAC" w:rsidRPr="00780D1B" w:rsidRDefault="00915BAC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915BAC" w:rsidRPr="00780D1B" w:rsidRDefault="00915BAC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915BAC" w:rsidRPr="00780D1B" w:rsidRDefault="00915BAC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915BAC" w:rsidRPr="00780D1B" w:rsidTr="00430806">
        <w:tc>
          <w:tcPr>
            <w:tcW w:w="2515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00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915BAC" w:rsidRPr="00780D1B" w:rsidRDefault="00086020" w:rsidP="00086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COH subject ID</w:t>
            </w:r>
          </w:p>
        </w:tc>
      </w:tr>
      <w:tr w:rsidR="00915BAC" w:rsidRPr="00780D1B" w:rsidTr="00430806">
        <w:tc>
          <w:tcPr>
            <w:tcW w:w="2515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HbA1c</w:t>
            </w:r>
          </w:p>
        </w:tc>
        <w:tc>
          <w:tcPr>
            <w:tcW w:w="2700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blood glucose level</w:t>
            </w:r>
          </w:p>
        </w:tc>
      </w:tr>
      <w:tr w:rsidR="00915BAC" w:rsidRPr="00780D1B" w:rsidTr="00430806">
        <w:tc>
          <w:tcPr>
            <w:tcW w:w="2515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2700" w:type="dxa"/>
          </w:tcPr>
          <w:p w:rsidR="00915BAC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915BAC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Subject’s weight in pounds</w:t>
            </w:r>
          </w:p>
          <w:p w:rsidR="00086020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this variable, the floor was taken of the original </w:t>
            </w:r>
            <w:proofErr w:type="spellStart"/>
            <w:r>
              <w:rPr>
                <w:rFonts w:ascii="Times New Roman" w:hAnsi="Times New Roman" w:cs="Times New Roman"/>
              </w:rPr>
              <w:t>weight_lb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to simplify the hand calculations.</w:t>
            </w:r>
          </w:p>
        </w:tc>
      </w:tr>
    </w:tbl>
    <w:p w:rsidR="00915BAC" w:rsidRDefault="00915BAC" w:rsidP="00915BAC"/>
    <w:p w:rsidR="00915BAC" w:rsidRDefault="00915BAC" w:rsidP="00915BAC"/>
    <w:p w:rsidR="00086020" w:rsidRDefault="00915BAC" w:rsidP="00086020">
      <w:pPr>
        <w:pStyle w:val="Heading1"/>
      </w:pPr>
      <w:r>
        <w:t xml:space="preserve">Dataset: </w:t>
      </w:r>
      <w:r w:rsidR="00086020">
        <w:t>FAMILYPLANNING</w:t>
      </w:r>
    </w:p>
    <w:p w:rsidR="00171988" w:rsidRDefault="00086020" w:rsidP="00086020">
      <w:r>
        <w:t xml:space="preserve">This dataset is </w:t>
      </w:r>
      <w:r w:rsidR="00171988">
        <w:t>from the World Health Organization’s Global Health Observatory</w:t>
      </w:r>
      <w:r>
        <w:t>.</w:t>
      </w:r>
      <w:r w:rsidR="00171988">
        <w:t xml:space="preserve"> The data includes d</w:t>
      </w:r>
      <w:r w:rsidR="00171988">
        <w:t>eman</w:t>
      </w:r>
      <w:r w:rsidR="00171988">
        <w:t xml:space="preserve">d for family planning satisfied, which </w:t>
      </w:r>
      <w:r w:rsidR="00171988">
        <w:t>is the percent of women of reproductive age who are sexually active and who have their need for family planning satisfied with modern methods</w:t>
      </w:r>
      <w:r w:rsidR="00171988">
        <w:t>, and t</w:t>
      </w:r>
      <w:r w:rsidR="00171988">
        <w:t>otal fertility rate per woman</w:t>
      </w:r>
      <w:r w:rsidR="00171988">
        <w:t>, which</w:t>
      </w:r>
      <w:r w:rsidR="00171988">
        <w:t xml:space="preserve"> is the number of children who would be born per woman during her childbearing years if she kept to a schedule of age-specific fertility rates.</w:t>
      </w:r>
      <w:r w:rsidR="00D7434A">
        <w:t xml:space="preserve"> </w:t>
      </w:r>
      <w:r w:rsidR="00171988">
        <w:t>There are 13 countries in the dataset, and only the values for the rural areas of those nations.</w:t>
      </w:r>
    </w:p>
    <w:p w:rsidR="00171988" w:rsidRPr="00D7434A" w:rsidRDefault="00171988" w:rsidP="00171988">
      <w:pPr>
        <w:pStyle w:val="NormalWeb"/>
        <w:ind w:left="640" w:hanging="640"/>
        <w:rPr>
          <w:u w:val="single"/>
        </w:rPr>
      </w:pPr>
      <w:r w:rsidRPr="00D7434A">
        <w:rPr>
          <w:u w:val="single"/>
        </w:rPr>
        <w:t xml:space="preserve">Sources: </w:t>
      </w:r>
    </w:p>
    <w:p w:rsidR="00171988" w:rsidRPr="00171988" w:rsidRDefault="00171988" w:rsidP="00171988">
      <w:pPr>
        <w:pStyle w:val="NormalWeb"/>
      </w:pPr>
      <w:r w:rsidRPr="00171988">
        <w:t>World Health Organization (WHO). Demand for family planni</w:t>
      </w:r>
      <w:r>
        <w:t xml:space="preserve">ng satisfied (%). Global Health </w:t>
      </w:r>
      <w:r w:rsidRPr="00171988">
        <w:t>Observatory Data Repository. http://apps.who.int/gho/data/view.main.94330. Published 2015.</w:t>
      </w:r>
    </w:p>
    <w:p w:rsidR="00086020" w:rsidRDefault="00171988" w:rsidP="00171988">
      <w:pPr>
        <w:rPr>
          <w:rFonts w:eastAsia="Times New Roman"/>
        </w:rPr>
      </w:pPr>
      <w:r w:rsidRPr="00171988">
        <w:rPr>
          <w:rFonts w:eastAsia="Times New Roman"/>
        </w:rPr>
        <w:t>World Health Organization (WHO). Total fertility rate (per woman). Global Health Observatory Data Repository. http://apps.who.int/gho/data/node.main.HE-1548?lang=en. Published 2015.</w:t>
      </w:r>
    </w:p>
    <w:p w:rsidR="00171988" w:rsidRDefault="00171988" w:rsidP="00171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086020" w:rsidRPr="00780D1B" w:rsidTr="00430806">
        <w:tc>
          <w:tcPr>
            <w:tcW w:w="2515" w:type="dxa"/>
          </w:tcPr>
          <w:p w:rsidR="00086020" w:rsidRPr="00780D1B" w:rsidRDefault="00086020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086020" w:rsidRPr="00780D1B" w:rsidRDefault="00086020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086020" w:rsidRPr="00780D1B" w:rsidRDefault="00086020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086020" w:rsidRPr="00780D1B" w:rsidTr="00430806">
        <w:tc>
          <w:tcPr>
            <w:tcW w:w="2515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700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4135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name</w:t>
            </w:r>
          </w:p>
        </w:tc>
      </w:tr>
      <w:tr w:rsidR="00086020" w:rsidRPr="00780D1B" w:rsidTr="00430806">
        <w:tc>
          <w:tcPr>
            <w:tcW w:w="2515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familyplan</w:t>
            </w:r>
            <w:proofErr w:type="spellEnd"/>
          </w:p>
        </w:tc>
        <w:tc>
          <w:tcPr>
            <w:tcW w:w="2700" w:type="dxa"/>
          </w:tcPr>
          <w:p w:rsidR="00086020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  <w:r w:rsidR="00D7434A">
              <w:rPr>
                <w:rFonts w:ascii="Times New Roman" w:hAnsi="Times New Roman" w:cs="Times New Roman"/>
              </w:rPr>
              <w:t xml:space="preserve"> – 0-100%</w:t>
            </w:r>
          </w:p>
        </w:tc>
        <w:tc>
          <w:tcPr>
            <w:tcW w:w="4135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 for family planning satisfied (%)</w:t>
            </w:r>
          </w:p>
        </w:tc>
      </w:tr>
      <w:tr w:rsidR="00086020" w:rsidRPr="00780D1B" w:rsidTr="00430806">
        <w:tc>
          <w:tcPr>
            <w:tcW w:w="2515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fertilityrate</w:t>
            </w:r>
            <w:proofErr w:type="spellEnd"/>
          </w:p>
        </w:tc>
        <w:tc>
          <w:tcPr>
            <w:tcW w:w="2700" w:type="dxa"/>
          </w:tcPr>
          <w:p w:rsidR="00086020" w:rsidRPr="00780D1B" w:rsidRDefault="00086020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086020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fertility rate per woman</w:t>
            </w:r>
          </w:p>
        </w:tc>
      </w:tr>
    </w:tbl>
    <w:p w:rsidR="00C63C79" w:rsidRDefault="00C63C79" w:rsidP="00C63C79"/>
    <w:p w:rsidR="00C63C79" w:rsidRDefault="00C63C79" w:rsidP="00C63C79"/>
    <w:p w:rsidR="00C63C79" w:rsidRDefault="00C63C79" w:rsidP="00C63C79"/>
    <w:p w:rsidR="00D7434A" w:rsidRDefault="00D7434A" w:rsidP="00D7434A">
      <w:pPr>
        <w:pStyle w:val="Heading1"/>
      </w:pPr>
      <w:r>
        <w:lastRenderedPageBreak/>
        <w:t>Dataset: BIOCHEM</w:t>
      </w:r>
    </w:p>
    <w:p w:rsidR="00D7434A" w:rsidRDefault="00D7434A" w:rsidP="00D7434A">
      <w:r>
        <w:t>This dataset is from the 2014 National Health and Nutrition Examination Survey (NHANES)</w:t>
      </w:r>
      <w:r>
        <w:t>.</w:t>
      </w:r>
      <w:r w:rsidR="00085827">
        <w:t xml:space="preserve"> A random sample was taken of participants who had completed the biochemistry profile portion of the survey. The dataset contains information from 250 participants. </w:t>
      </w:r>
    </w:p>
    <w:p w:rsidR="00D7434A" w:rsidRPr="00D7434A" w:rsidRDefault="00D7434A" w:rsidP="00D7434A">
      <w:pPr>
        <w:pStyle w:val="NormalWeb"/>
        <w:ind w:left="640" w:hanging="640"/>
        <w:rPr>
          <w:u w:val="single"/>
        </w:rPr>
      </w:pPr>
      <w:r w:rsidRPr="00D7434A">
        <w:rPr>
          <w:u w:val="single"/>
        </w:rPr>
        <w:t xml:space="preserve">Source: </w:t>
      </w:r>
    </w:p>
    <w:p w:rsidR="00D7434A" w:rsidRDefault="00085827" w:rsidP="00D7434A">
      <w:r>
        <w:t xml:space="preserve">Centers for Disease Control and Prevention (CDC) National Center for Health Statistics (NCHS). </w:t>
      </w:r>
      <w:r>
        <w:rPr>
          <w:i/>
          <w:iCs/>
        </w:rPr>
        <w:t>National Health and Nutrition Examination Survey</w:t>
      </w:r>
      <w:r>
        <w:t xml:space="preserve">. Hyattsville, MD; 2012. </w:t>
      </w:r>
      <w:hyperlink r:id="rId4" w:history="1">
        <w:r w:rsidRPr="00C94F50">
          <w:rPr>
            <w:rStyle w:val="Hyperlink"/>
          </w:rPr>
          <w:t>http://wwwn.cdc.gov/nchs/nhanes/search/nhanes11_12.aspx</w:t>
        </w:r>
      </w:hyperlink>
      <w:r>
        <w:t>.</w:t>
      </w:r>
    </w:p>
    <w:p w:rsidR="00085827" w:rsidRDefault="00085827" w:rsidP="00D74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D7434A" w:rsidRPr="00780D1B" w:rsidTr="00430806">
        <w:tc>
          <w:tcPr>
            <w:tcW w:w="2515" w:type="dxa"/>
          </w:tcPr>
          <w:p w:rsidR="00D7434A" w:rsidRPr="00780D1B" w:rsidRDefault="00D7434A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D7434A" w:rsidRPr="00780D1B" w:rsidRDefault="00D7434A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D7434A" w:rsidRPr="00780D1B" w:rsidRDefault="00D7434A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D7434A" w:rsidRPr="00780D1B" w:rsidTr="00430806">
        <w:tc>
          <w:tcPr>
            <w:tcW w:w="2515" w:type="dxa"/>
          </w:tcPr>
          <w:p w:rsidR="00D7434A" w:rsidRPr="00780D1B" w:rsidRDefault="00085827" w:rsidP="004308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Seqn</w:t>
            </w:r>
            <w:proofErr w:type="spellEnd"/>
          </w:p>
        </w:tc>
        <w:tc>
          <w:tcPr>
            <w:tcW w:w="2700" w:type="dxa"/>
          </w:tcPr>
          <w:p w:rsidR="00D7434A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4135" w:type="dxa"/>
          </w:tcPr>
          <w:p w:rsidR="00D7434A" w:rsidRPr="00780D1B" w:rsidRDefault="00085827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 ID</w:t>
            </w:r>
          </w:p>
        </w:tc>
      </w:tr>
      <w:tr w:rsidR="00D7434A" w:rsidRPr="00780D1B" w:rsidTr="00430806">
        <w:tc>
          <w:tcPr>
            <w:tcW w:w="2515" w:type="dxa"/>
          </w:tcPr>
          <w:p w:rsidR="00D7434A" w:rsidRPr="00780D1B" w:rsidRDefault="00085827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albumin</w:t>
            </w:r>
          </w:p>
        </w:tc>
        <w:tc>
          <w:tcPr>
            <w:tcW w:w="2700" w:type="dxa"/>
          </w:tcPr>
          <w:p w:rsidR="00D7434A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D7434A" w:rsidRPr="00780D1B" w:rsidRDefault="00085827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in g/dL</w:t>
            </w:r>
          </w:p>
        </w:tc>
      </w:tr>
      <w:tr w:rsidR="00D7434A" w:rsidRPr="00780D1B" w:rsidTr="00430806">
        <w:tc>
          <w:tcPr>
            <w:tcW w:w="2515" w:type="dxa"/>
          </w:tcPr>
          <w:p w:rsidR="00D7434A" w:rsidRPr="00780D1B" w:rsidRDefault="00085827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creatinine</w:t>
            </w:r>
          </w:p>
        </w:tc>
        <w:tc>
          <w:tcPr>
            <w:tcW w:w="2700" w:type="dxa"/>
          </w:tcPr>
          <w:p w:rsidR="00D7434A" w:rsidRPr="00780D1B" w:rsidRDefault="00D7434A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D7434A" w:rsidRPr="00780D1B" w:rsidRDefault="00085827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Measured in mg/dL</w:t>
            </w:r>
          </w:p>
        </w:tc>
      </w:tr>
    </w:tbl>
    <w:p w:rsidR="00D7434A" w:rsidRDefault="00D7434A" w:rsidP="00915BAC"/>
    <w:p w:rsidR="00C63C79" w:rsidRDefault="00C63C79" w:rsidP="00915BAC"/>
    <w:p w:rsidR="00915BAC" w:rsidRDefault="00D7434A" w:rsidP="00085827">
      <w:pPr>
        <w:pStyle w:val="Heading1"/>
      </w:pPr>
      <w:r>
        <w:t xml:space="preserve">Dataset: </w:t>
      </w:r>
      <w:r w:rsidR="00915BAC">
        <w:t>CORR_DTP3</w:t>
      </w:r>
    </w:p>
    <w:p w:rsidR="008606FE" w:rsidRDefault="00085827" w:rsidP="00085827">
      <w:r>
        <w:t>This dataset is from the World Health Organization’s Global Health Observatory</w:t>
      </w:r>
      <w:r w:rsidR="00C63C79">
        <w:t>’s section on childhood health</w:t>
      </w:r>
      <w:r>
        <w:t>.</w:t>
      </w:r>
      <w:r w:rsidR="00C63C79">
        <w:t xml:space="preserve"> Data include the </w:t>
      </w:r>
      <w:r w:rsidR="00C63C79">
        <w:t xml:space="preserve">diphtheria tetanus toxoid and pertussis </w:t>
      </w:r>
      <w:r w:rsidR="00C63C79">
        <w:t>(DTP3) immunization</w:t>
      </w:r>
      <w:r>
        <w:t xml:space="preserve"> </w:t>
      </w:r>
      <w:r w:rsidR="00C63C79">
        <w:t xml:space="preserve">coverage and under-5 </w:t>
      </w:r>
      <w:proofErr w:type="gramStart"/>
      <w:r w:rsidR="00C63C79">
        <w:t>years</w:t>
      </w:r>
      <w:proofErr w:type="gramEnd"/>
      <w:r w:rsidR="00C63C79">
        <w:t xml:space="preserve"> mortality rate for each of the 194 countries in the dataset.</w:t>
      </w:r>
    </w:p>
    <w:p w:rsidR="00085827" w:rsidRPr="00D7434A" w:rsidRDefault="00085827" w:rsidP="00085827">
      <w:pPr>
        <w:pStyle w:val="NormalWeb"/>
        <w:ind w:left="640" w:hanging="640"/>
        <w:rPr>
          <w:u w:val="single"/>
        </w:rPr>
      </w:pPr>
      <w:r w:rsidRPr="00D7434A">
        <w:rPr>
          <w:u w:val="single"/>
        </w:rPr>
        <w:t>Source</w:t>
      </w:r>
      <w:r w:rsidR="00C63C79">
        <w:rPr>
          <w:u w:val="single"/>
        </w:rPr>
        <w:t>s</w:t>
      </w:r>
      <w:r w:rsidRPr="00D7434A">
        <w:rPr>
          <w:u w:val="single"/>
        </w:rPr>
        <w:t xml:space="preserve">: </w:t>
      </w:r>
    </w:p>
    <w:p w:rsidR="00085827" w:rsidRPr="00085827" w:rsidRDefault="00085827" w:rsidP="00085827">
      <w:pPr>
        <w:spacing w:before="100" w:beforeAutospacing="1" w:after="100" w:afterAutospacing="1" w:line="240" w:lineRule="auto"/>
        <w:rPr>
          <w:rFonts w:eastAsia="Times New Roman"/>
        </w:rPr>
      </w:pPr>
      <w:r w:rsidRPr="00085827">
        <w:rPr>
          <w:rFonts w:eastAsia="Times New Roman"/>
        </w:rPr>
        <w:t>World Health Organization (WHO). Number of under-five deaths (thousands). Global Health Observatory Data Repository. http://apps.who.int/gho/data/node.main.ChildMort-1?lang=en. Published 2015.</w:t>
      </w:r>
    </w:p>
    <w:p w:rsidR="00085827" w:rsidRDefault="00085827" w:rsidP="00085827">
      <w:pPr>
        <w:rPr>
          <w:rFonts w:eastAsia="Times New Roman"/>
        </w:rPr>
      </w:pPr>
      <w:r w:rsidRPr="00085827">
        <w:rPr>
          <w:rFonts w:eastAsia="Times New Roman"/>
        </w:rPr>
        <w:t xml:space="preserve">World Health Organization (WHO). </w:t>
      </w:r>
      <w:proofErr w:type="spellStart"/>
      <w:r w:rsidRPr="00085827">
        <w:rPr>
          <w:rFonts w:eastAsia="Times New Roman"/>
        </w:rPr>
        <w:t>Diptheria</w:t>
      </w:r>
      <w:proofErr w:type="spellEnd"/>
      <w:r w:rsidRPr="00085827">
        <w:rPr>
          <w:rFonts w:eastAsia="Times New Roman"/>
        </w:rPr>
        <w:t xml:space="preserve"> tetanus toxoid and pertussis (DTP3). Global Health Observatory Data Repository. http://apps.who.int/gho/data/view.main.80200. Published 2015.</w:t>
      </w:r>
    </w:p>
    <w:p w:rsidR="00C63C79" w:rsidRDefault="00C63C79" w:rsidP="00085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085827" w:rsidRPr="00780D1B" w:rsidTr="00430806">
        <w:tc>
          <w:tcPr>
            <w:tcW w:w="2515" w:type="dxa"/>
          </w:tcPr>
          <w:p w:rsidR="00085827" w:rsidRPr="00780D1B" w:rsidRDefault="00085827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085827" w:rsidRPr="00780D1B" w:rsidRDefault="00085827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085827" w:rsidRPr="00780D1B" w:rsidRDefault="00085827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C63C79" w:rsidRPr="00780D1B" w:rsidTr="00430806">
        <w:tc>
          <w:tcPr>
            <w:tcW w:w="2515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700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4135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name</w:t>
            </w:r>
          </w:p>
        </w:tc>
      </w:tr>
      <w:tr w:rsidR="00C63C79" w:rsidRPr="00780D1B" w:rsidTr="00430806">
        <w:tc>
          <w:tcPr>
            <w:tcW w:w="2515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dtp3</w:t>
            </w:r>
          </w:p>
        </w:tc>
        <w:tc>
          <w:tcPr>
            <w:tcW w:w="2700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  <w:r>
              <w:rPr>
                <w:rFonts w:ascii="Times New Roman" w:hAnsi="Times New Roman" w:cs="Times New Roman"/>
              </w:rPr>
              <w:t xml:space="preserve"> – 0-100%</w:t>
            </w:r>
          </w:p>
        </w:tc>
        <w:tc>
          <w:tcPr>
            <w:tcW w:w="4135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 w:rsidRPr="00C63C79">
              <w:rPr>
                <w:rFonts w:ascii="Times New Roman" w:hAnsi="Times New Roman" w:cs="Times New Roman"/>
              </w:rPr>
              <w:t>Diphtheria tetanus toxoid and pertussis (DTP3) immunization coverage among 1-year-olds (%)</w:t>
            </w:r>
          </w:p>
        </w:tc>
      </w:tr>
      <w:tr w:rsidR="00C63C79" w:rsidRPr="00780D1B" w:rsidTr="00430806">
        <w:tc>
          <w:tcPr>
            <w:tcW w:w="2515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under5_mortality</w:t>
            </w:r>
          </w:p>
        </w:tc>
        <w:tc>
          <w:tcPr>
            <w:tcW w:w="2700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C63C79" w:rsidRPr="00780D1B" w:rsidRDefault="00C63C79" w:rsidP="00C63C79">
            <w:pPr>
              <w:rPr>
                <w:rFonts w:ascii="Times New Roman" w:hAnsi="Times New Roman" w:cs="Times New Roman"/>
              </w:rPr>
            </w:pPr>
            <w:r w:rsidRPr="00C63C79">
              <w:rPr>
                <w:rFonts w:ascii="Times New Roman" w:hAnsi="Times New Roman" w:cs="Times New Roman"/>
              </w:rPr>
              <w:t>Probability of dying by age 5 (per 1,000 live births)</w:t>
            </w:r>
          </w:p>
        </w:tc>
      </w:tr>
    </w:tbl>
    <w:p w:rsidR="00085827" w:rsidRDefault="00085827" w:rsidP="00085827"/>
    <w:p w:rsidR="00915BAC" w:rsidRDefault="00D7434A" w:rsidP="00E57E83">
      <w:pPr>
        <w:pStyle w:val="Heading1"/>
      </w:pPr>
      <w:r>
        <w:lastRenderedPageBreak/>
        <w:t xml:space="preserve">Dataset: </w:t>
      </w:r>
      <w:r w:rsidR="00915BAC">
        <w:t>SODA_PA</w:t>
      </w:r>
    </w:p>
    <w:p w:rsidR="003230C5" w:rsidRDefault="003230C5" w:rsidP="003230C5">
      <w:r>
        <w:t xml:space="preserve">This dataset is from the </w:t>
      </w:r>
      <w:r w:rsidR="00E57E83">
        <w:t>CDC’s state summaries of Yo</w:t>
      </w:r>
      <w:bookmarkStart w:id="0" w:name="_GoBack"/>
      <w:bookmarkEnd w:id="0"/>
      <w:r w:rsidR="00E57E83">
        <w:t>uth Risk Behavior Surveillance System. Data is available from 42 states.</w:t>
      </w:r>
      <w:r>
        <w:t xml:space="preserve"> </w:t>
      </w:r>
    </w:p>
    <w:p w:rsidR="003230C5" w:rsidRPr="00D7434A" w:rsidRDefault="003230C5" w:rsidP="003230C5">
      <w:pPr>
        <w:pStyle w:val="NormalWeb"/>
        <w:ind w:left="640" w:hanging="640"/>
        <w:rPr>
          <w:u w:val="single"/>
        </w:rPr>
      </w:pPr>
      <w:r w:rsidRPr="00D7434A">
        <w:rPr>
          <w:u w:val="single"/>
        </w:rPr>
        <w:t xml:space="preserve">Source: </w:t>
      </w:r>
    </w:p>
    <w:p w:rsidR="003230C5" w:rsidRDefault="003230C5" w:rsidP="003230C5">
      <w:r>
        <w:t xml:space="preserve">Centers for Disease Control and Prevention (CDC). </w:t>
      </w:r>
      <w:r>
        <w:rPr>
          <w:i/>
          <w:iCs/>
        </w:rPr>
        <w:t xml:space="preserve">Youth Risk Behavior Survey </w:t>
      </w:r>
      <w:proofErr w:type="gramStart"/>
      <w:r>
        <w:rPr>
          <w:i/>
          <w:iCs/>
        </w:rPr>
        <w:t>Questionnaire</w:t>
      </w:r>
      <w:r>
        <w:t>.;</w:t>
      </w:r>
      <w:proofErr w:type="gramEnd"/>
      <w:r>
        <w:t xml:space="preserve"> 2013. www.cdc.gov/yrbs.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3230C5" w:rsidRPr="00780D1B" w:rsidTr="00430806">
        <w:tc>
          <w:tcPr>
            <w:tcW w:w="2515" w:type="dxa"/>
          </w:tcPr>
          <w:p w:rsidR="003230C5" w:rsidRPr="00780D1B" w:rsidRDefault="003230C5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700" w:type="dxa"/>
          </w:tcPr>
          <w:p w:rsidR="003230C5" w:rsidRPr="00780D1B" w:rsidRDefault="003230C5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Values</w:t>
            </w:r>
          </w:p>
        </w:tc>
        <w:tc>
          <w:tcPr>
            <w:tcW w:w="4135" w:type="dxa"/>
          </w:tcPr>
          <w:p w:rsidR="003230C5" w:rsidRPr="00780D1B" w:rsidRDefault="003230C5" w:rsidP="004308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0D1B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3230C5" w:rsidRPr="00780D1B" w:rsidTr="00430806">
        <w:tc>
          <w:tcPr>
            <w:tcW w:w="2515" w:type="dxa"/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700" w:type="dxa"/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4135" w:type="dxa"/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name</w:t>
            </w:r>
          </w:p>
        </w:tc>
      </w:tr>
      <w:tr w:rsidR="003230C5" w:rsidRPr="00780D1B" w:rsidTr="00430806">
        <w:tc>
          <w:tcPr>
            <w:tcW w:w="2515" w:type="dxa"/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dranksoda</w:t>
            </w:r>
            <w:proofErr w:type="spellEnd"/>
          </w:p>
        </w:tc>
        <w:tc>
          <w:tcPr>
            <w:tcW w:w="2700" w:type="dxa"/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 w:rsidRPr="003230C5">
              <w:rPr>
                <w:rFonts w:ascii="Times New Roman" w:hAnsi="Times New Roman" w:cs="Times New Roman"/>
              </w:rPr>
              <w:t>% of students who drank regular soda at least one time per day</w:t>
            </w:r>
          </w:p>
        </w:tc>
      </w:tr>
      <w:tr w:rsidR="003230C5" w:rsidRPr="00780D1B" w:rsidTr="003230C5">
        <w:tc>
          <w:tcPr>
            <w:tcW w:w="2515" w:type="dxa"/>
            <w:tcBorders>
              <w:bottom w:val="single" w:sz="4" w:space="0" w:color="auto"/>
            </w:tcBorders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tv_3hours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3230C5" w:rsidRPr="00780D1B" w:rsidRDefault="003230C5" w:rsidP="00430806">
            <w:pPr>
              <w:rPr>
                <w:rFonts w:ascii="Times New Roman" w:hAnsi="Times New Roman" w:cs="Times New Roman"/>
              </w:rPr>
            </w:pPr>
            <w:r w:rsidRPr="003230C5">
              <w:rPr>
                <w:rFonts w:ascii="Times New Roman" w:hAnsi="Times New Roman" w:cs="Times New Roman"/>
              </w:rPr>
              <w:t>% of students watching 3+ hours of TV/school day</w:t>
            </w:r>
          </w:p>
        </w:tc>
      </w:tr>
      <w:tr w:rsidR="003230C5" w:rsidRPr="003230C5" w:rsidTr="003230C5">
        <w:tc>
          <w:tcPr>
            <w:tcW w:w="2515" w:type="dxa"/>
            <w:tcBorders>
              <w:bottom w:val="single" w:sz="4" w:space="0" w:color="auto"/>
            </w:tcBorders>
          </w:tcPr>
          <w:p w:rsidR="003230C5" w:rsidRPr="003230C5" w:rsidRDefault="003230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30C5">
              <w:rPr>
                <w:rFonts w:ascii="Times New Roman" w:hAnsi="Times New Roman" w:cs="Times New Roman"/>
                <w:sz w:val="24"/>
                <w:szCs w:val="24"/>
              </w:rPr>
              <w:t>daily_pe</w:t>
            </w:r>
            <w:proofErr w:type="spellEnd"/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3230C5" w:rsidRPr="003230C5" w:rsidRDefault="003230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C5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3230C5" w:rsidRPr="003230C5" w:rsidRDefault="003230C5" w:rsidP="00430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0C5">
              <w:rPr>
                <w:rFonts w:ascii="Times New Roman" w:hAnsi="Times New Roman" w:cs="Times New Roman"/>
                <w:sz w:val="24"/>
                <w:szCs w:val="24"/>
              </w:rPr>
              <w:t>% of students who participate in daily physical education</w:t>
            </w:r>
          </w:p>
        </w:tc>
      </w:tr>
    </w:tbl>
    <w:p w:rsidR="003230C5" w:rsidRPr="003230C5" w:rsidRDefault="003230C5" w:rsidP="00915BAC"/>
    <w:sectPr w:rsidR="003230C5" w:rsidRPr="0032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AC"/>
    <w:rsid w:val="00085827"/>
    <w:rsid w:val="00086020"/>
    <w:rsid w:val="00171988"/>
    <w:rsid w:val="003230C5"/>
    <w:rsid w:val="00531759"/>
    <w:rsid w:val="00645154"/>
    <w:rsid w:val="008606FE"/>
    <w:rsid w:val="00915BAC"/>
    <w:rsid w:val="00C63C79"/>
    <w:rsid w:val="00D7434A"/>
    <w:rsid w:val="00E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6F9D-6B64-41DA-948C-74195ED1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AC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AC"/>
    <w:rPr>
      <w:b/>
    </w:rPr>
  </w:style>
  <w:style w:type="table" w:styleId="TableGrid">
    <w:name w:val="Table Grid"/>
    <w:basedOn w:val="TableNormal"/>
    <w:uiPriority w:val="39"/>
    <w:rsid w:val="00915BA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198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85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n.cdc.gov/nchs/nhanes/search/nhanes11_1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Sarah</dc:creator>
  <cp:keywords/>
  <dc:description/>
  <cp:lastModifiedBy>Lyons, Sarah</cp:lastModifiedBy>
  <cp:revision>5</cp:revision>
  <dcterms:created xsi:type="dcterms:W3CDTF">2016-10-27T16:06:00Z</dcterms:created>
  <dcterms:modified xsi:type="dcterms:W3CDTF">2016-10-27T18:47:00Z</dcterms:modified>
</cp:coreProperties>
</file>