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759" w:rsidRPr="00645154" w:rsidRDefault="00915BAC" w:rsidP="00645154">
      <w:pPr>
        <w:jc w:val="center"/>
        <w:rPr>
          <w:b/>
          <w:sz w:val="28"/>
        </w:rPr>
      </w:pPr>
      <w:r w:rsidRPr="00645154">
        <w:rPr>
          <w:b/>
          <w:sz w:val="28"/>
        </w:rPr>
        <w:t>Chapter 12 Dataset Codebook</w:t>
      </w:r>
    </w:p>
    <w:p w:rsidR="00915BAC" w:rsidRDefault="00915BAC"/>
    <w:p w:rsidR="00915BAC" w:rsidRDefault="00645154" w:rsidP="00915BAC">
      <w:pPr>
        <w:pStyle w:val="Heading1"/>
      </w:pPr>
      <w:r>
        <w:t>D</w:t>
      </w:r>
      <w:r w:rsidR="00915BAC">
        <w:t xml:space="preserve">ataset: </w:t>
      </w:r>
      <w:r w:rsidR="00A90E77">
        <w:t>MPINC_MORTALITY</w:t>
      </w:r>
    </w:p>
    <w:p w:rsidR="00A90E77" w:rsidRDefault="00915BAC" w:rsidP="00915BAC">
      <w:r>
        <w:t xml:space="preserve">This dataset is </w:t>
      </w:r>
      <w:r w:rsidR="00A90E77">
        <w:t>at the state level and contains data on all 50 states and Washington D.C. It contains data on the proportion of hospitals in each state that comply with breastfeeding benchmarks.</w:t>
      </w:r>
    </w:p>
    <w:p w:rsidR="00A90E77" w:rsidRDefault="00A90E77" w:rsidP="00915BAC">
      <w:pPr>
        <w:rPr>
          <w:u w:val="single"/>
        </w:rPr>
      </w:pPr>
    </w:p>
    <w:p w:rsidR="00A90E77" w:rsidRPr="00A90E77" w:rsidRDefault="00A90E77" w:rsidP="00915BAC">
      <w:pPr>
        <w:rPr>
          <w:u w:val="single"/>
        </w:rPr>
      </w:pPr>
      <w:r w:rsidRPr="00A90E77">
        <w:rPr>
          <w:u w:val="single"/>
        </w:rPr>
        <w:t>Source</w:t>
      </w:r>
      <w:r>
        <w:rPr>
          <w:u w:val="single"/>
        </w:rPr>
        <w:t>s</w:t>
      </w:r>
      <w:r w:rsidRPr="00A90E77">
        <w:rPr>
          <w:u w:val="single"/>
        </w:rPr>
        <w:t>:</w:t>
      </w:r>
    </w:p>
    <w:p w:rsidR="00A90E77" w:rsidRDefault="00A90E77" w:rsidP="00915BAC">
      <w:r>
        <w:t>Centers for Disease Control and Prevention (CDC). Maternity Practices in Infant Nutrition and Care (</w:t>
      </w:r>
      <w:proofErr w:type="spellStart"/>
      <w:r>
        <w:t>mPINC</w:t>
      </w:r>
      <w:proofErr w:type="spellEnd"/>
      <w:r>
        <w:t>) Survey. http://www.cdc.gov/breastfeeding/data/mpinc/index.htm. Published 2007.</w:t>
      </w:r>
    </w:p>
    <w:p w:rsidR="00915BAC" w:rsidRDefault="00A90E77" w:rsidP="00915BAC">
      <w:r>
        <w:t xml:space="preserve">Mathews TJ, </w:t>
      </w:r>
      <w:proofErr w:type="spellStart"/>
      <w:r>
        <w:t>MacDorman</w:t>
      </w:r>
      <w:proofErr w:type="spellEnd"/>
      <w:r>
        <w:t xml:space="preserve"> MF. Infant Mortality Statistics from the 2010 Period Linked Birth/Infant Death Data Set. </w:t>
      </w:r>
      <w:r>
        <w:rPr>
          <w:i/>
          <w:iCs/>
        </w:rPr>
        <w:t>Natl Vital Stat Reports</w:t>
      </w:r>
      <w:r>
        <w:t>. 2013</w:t>
      </w:r>
      <w:proofErr w:type="gramStart"/>
      <w:r>
        <w:t>;62</w:t>
      </w:r>
      <w:proofErr w:type="gramEnd"/>
      <w:r>
        <w:t xml:space="preserve">(8). </w:t>
      </w:r>
      <w:hyperlink r:id="rId5" w:history="1">
        <w:r w:rsidRPr="00B36562">
          <w:rPr>
            <w:rStyle w:val="Hyperlink"/>
          </w:rPr>
          <w:t>http://www.cdc.gov/nchs/data/nvsr/nvsr62/nvsr62_08.pdf</w:t>
        </w:r>
      </w:hyperlink>
      <w:r>
        <w:t>.</w:t>
      </w:r>
    </w:p>
    <w:p w:rsidR="00A90E77" w:rsidRDefault="00A90E77" w:rsidP="00915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915BAC" w:rsidRPr="00A90E77" w:rsidTr="00430806">
        <w:tc>
          <w:tcPr>
            <w:tcW w:w="2515" w:type="dxa"/>
          </w:tcPr>
          <w:p w:rsidR="00915BAC" w:rsidRPr="00A90E77" w:rsidRDefault="00915BAC" w:rsidP="00430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2700" w:type="dxa"/>
          </w:tcPr>
          <w:p w:rsidR="00915BAC" w:rsidRPr="00A90E77" w:rsidRDefault="00915BAC" w:rsidP="00430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</w:tc>
        <w:tc>
          <w:tcPr>
            <w:tcW w:w="4135" w:type="dxa"/>
          </w:tcPr>
          <w:p w:rsidR="00915BAC" w:rsidRPr="00A90E77" w:rsidRDefault="00915BAC" w:rsidP="00430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915BAC" w:rsidRPr="00A90E77" w:rsidTr="00430806">
        <w:tc>
          <w:tcPr>
            <w:tcW w:w="2515" w:type="dxa"/>
          </w:tcPr>
          <w:p w:rsidR="00915BAC" w:rsidRPr="00A90E77" w:rsidRDefault="00A90E77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700" w:type="dxa"/>
          </w:tcPr>
          <w:p w:rsidR="00915BAC" w:rsidRPr="00A90E77" w:rsidRDefault="00A90E77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135" w:type="dxa"/>
          </w:tcPr>
          <w:p w:rsidR="00915BAC" w:rsidRPr="00A90E77" w:rsidRDefault="00A90E77" w:rsidP="00086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sz w:val="24"/>
                <w:szCs w:val="24"/>
              </w:rPr>
              <w:t>State name</w:t>
            </w:r>
          </w:p>
        </w:tc>
      </w:tr>
      <w:tr w:rsidR="00915BAC" w:rsidRPr="00A90E77" w:rsidTr="00430806">
        <w:tc>
          <w:tcPr>
            <w:tcW w:w="2515" w:type="dxa"/>
          </w:tcPr>
          <w:p w:rsidR="00915BAC" w:rsidRPr="00A90E77" w:rsidRDefault="00A90E77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sz w:val="24"/>
                <w:szCs w:val="24"/>
              </w:rPr>
              <w:t>Infant_mortality2010</w:t>
            </w:r>
          </w:p>
        </w:tc>
        <w:tc>
          <w:tcPr>
            <w:tcW w:w="2700" w:type="dxa"/>
          </w:tcPr>
          <w:p w:rsidR="00915BAC" w:rsidRPr="00A90E77" w:rsidRDefault="00086020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135" w:type="dxa"/>
          </w:tcPr>
          <w:p w:rsidR="00915BAC" w:rsidRPr="00A90E77" w:rsidRDefault="00A90E77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sz w:val="24"/>
                <w:szCs w:val="24"/>
              </w:rPr>
              <w:t>Infant mortality rate in 2010</w:t>
            </w:r>
          </w:p>
          <w:p w:rsidR="00A90E77" w:rsidRPr="00A90E77" w:rsidRDefault="00A90E77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sz w:val="24"/>
                <w:szCs w:val="24"/>
              </w:rPr>
              <w:t>Total number of deaths per 1,000 live births</w:t>
            </w:r>
          </w:p>
        </w:tc>
      </w:tr>
      <w:tr w:rsidR="00915BAC" w:rsidRPr="00A90E77" w:rsidTr="00430806">
        <w:tc>
          <w:tcPr>
            <w:tcW w:w="2515" w:type="dxa"/>
          </w:tcPr>
          <w:p w:rsidR="00915BAC" w:rsidRPr="00A90E77" w:rsidRDefault="00A90E77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0E77">
              <w:rPr>
                <w:rFonts w:ascii="Times New Roman" w:hAnsi="Times New Roman" w:cs="Times New Roman"/>
                <w:sz w:val="24"/>
                <w:szCs w:val="24"/>
              </w:rPr>
              <w:t>Exclusivebf</w:t>
            </w:r>
            <w:proofErr w:type="spellEnd"/>
          </w:p>
        </w:tc>
        <w:tc>
          <w:tcPr>
            <w:tcW w:w="2700" w:type="dxa"/>
          </w:tcPr>
          <w:p w:rsidR="00915BAC" w:rsidRPr="00A90E77" w:rsidRDefault="00086020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  <w:r w:rsidR="00A90E77" w:rsidRPr="00A90E77">
              <w:rPr>
                <w:rFonts w:ascii="Times New Roman" w:hAnsi="Times New Roman" w:cs="Times New Roman"/>
                <w:sz w:val="24"/>
                <w:szCs w:val="24"/>
              </w:rPr>
              <w:t xml:space="preserve"> – 0-100</w:t>
            </w:r>
          </w:p>
        </w:tc>
        <w:tc>
          <w:tcPr>
            <w:tcW w:w="4135" w:type="dxa"/>
          </w:tcPr>
          <w:p w:rsidR="00086020" w:rsidRDefault="00A90E77" w:rsidP="00A90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sz w:val="24"/>
                <w:szCs w:val="24"/>
              </w:rPr>
              <w:t>Proportion of hospitals that comply with the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xclusive Breastfeeding standard</w:t>
            </w:r>
          </w:p>
          <w:p w:rsidR="00A90E77" w:rsidRPr="00A90E77" w:rsidRDefault="00A90E77" w:rsidP="00A90E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0E77" w:rsidRPr="00A90E77" w:rsidRDefault="00A90E77" w:rsidP="00A90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sz w:val="24"/>
                <w:szCs w:val="24"/>
              </w:rPr>
              <w:t>To comply with the Exclusive Breastfeeding standard, a hospital must allow no more than 10% of its healthy, full-term, breastfed infants to have their diet supplemented with formula, glucose water, or water</w:t>
            </w:r>
          </w:p>
        </w:tc>
      </w:tr>
      <w:tr w:rsidR="00A90E77" w:rsidRPr="00A90E77" w:rsidTr="00430806">
        <w:tc>
          <w:tcPr>
            <w:tcW w:w="2515" w:type="dxa"/>
          </w:tcPr>
          <w:p w:rsidR="00A90E77" w:rsidRPr="00A90E77" w:rsidRDefault="00A90E77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sz w:val="24"/>
                <w:szCs w:val="24"/>
              </w:rPr>
              <w:t>Teach</w:t>
            </w:r>
          </w:p>
        </w:tc>
        <w:tc>
          <w:tcPr>
            <w:tcW w:w="2700" w:type="dxa"/>
          </w:tcPr>
          <w:p w:rsidR="00A90E77" w:rsidRPr="00A90E77" w:rsidRDefault="00A90E77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 – 0-100</w:t>
            </w:r>
          </w:p>
        </w:tc>
        <w:tc>
          <w:tcPr>
            <w:tcW w:w="4135" w:type="dxa"/>
          </w:tcPr>
          <w:p w:rsidR="00A90E77" w:rsidRDefault="00A90E77" w:rsidP="00A90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sz w:val="24"/>
                <w:szCs w:val="24"/>
              </w:rPr>
              <w:t xml:space="preserve">Proportion of hospitals that comply with the </w:t>
            </w:r>
            <w:r w:rsidR="00A514C5">
              <w:rPr>
                <w:rFonts w:ascii="Times New Roman" w:hAnsi="Times New Roman" w:cs="Times New Roman"/>
                <w:sz w:val="24"/>
                <w:szCs w:val="24"/>
              </w:rPr>
              <w:t>Teaching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standard</w:t>
            </w:r>
          </w:p>
          <w:p w:rsidR="00A90E77" w:rsidRPr="00A90E77" w:rsidRDefault="00A90E77" w:rsidP="00A90E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0E77" w:rsidRPr="00A90E77" w:rsidRDefault="00A90E77" w:rsidP="00A51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sz w:val="24"/>
                <w:szCs w:val="24"/>
              </w:rPr>
              <w:t xml:space="preserve">To comply with the </w:t>
            </w:r>
            <w:r w:rsidR="00A514C5">
              <w:rPr>
                <w:rFonts w:ascii="Times New Roman" w:hAnsi="Times New Roman" w:cs="Times New Roman"/>
                <w:sz w:val="24"/>
                <w:szCs w:val="24"/>
              </w:rPr>
              <w:t>Teaching</w:t>
            </w:r>
            <w:r w:rsidRPr="00A90E77">
              <w:rPr>
                <w:rFonts w:ascii="Times New Roman" w:hAnsi="Times New Roman" w:cs="Times New Roman"/>
                <w:sz w:val="24"/>
                <w:szCs w:val="24"/>
              </w:rPr>
              <w:t xml:space="preserve"> standard, a hospital must </w:t>
            </w:r>
            <w:r w:rsidR="00A514C5">
              <w:rPr>
                <w:rFonts w:ascii="Times New Roman" w:hAnsi="Times New Roman" w:cs="Times New Roman"/>
                <w:sz w:val="24"/>
                <w:szCs w:val="24"/>
              </w:rPr>
              <w:t xml:space="preserve">teach breastfeeding techniques to </w:t>
            </w:r>
            <w:r w:rsidR="00A514C5" w:rsidRPr="00A514C5">
              <w:rPr>
                <w:rFonts w:ascii="Times New Roman" w:hAnsi="Times New Roman" w:cs="Times New Roman"/>
                <w:sz w:val="24"/>
                <w:szCs w:val="24"/>
              </w:rPr>
              <w:t>90% of mothers who are cu</w:t>
            </w:r>
            <w:r w:rsidR="00A514C5">
              <w:rPr>
                <w:rFonts w:ascii="Times New Roman" w:hAnsi="Times New Roman" w:cs="Times New Roman"/>
                <w:sz w:val="24"/>
                <w:szCs w:val="24"/>
              </w:rPr>
              <w:t>rrently or intend to breastfeed</w:t>
            </w:r>
          </w:p>
        </w:tc>
      </w:tr>
      <w:tr w:rsidR="00A90E77" w:rsidRPr="00A90E77" w:rsidTr="00430806">
        <w:tc>
          <w:tcPr>
            <w:tcW w:w="2515" w:type="dxa"/>
          </w:tcPr>
          <w:p w:rsidR="00A90E77" w:rsidRPr="00A90E77" w:rsidRDefault="00A90E77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E77">
              <w:rPr>
                <w:rFonts w:ascii="Times New Roman" w:hAnsi="Times New Roman" w:cs="Times New Roman"/>
                <w:sz w:val="24"/>
                <w:szCs w:val="24"/>
              </w:rPr>
              <w:t>Discharge</w:t>
            </w:r>
          </w:p>
        </w:tc>
        <w:tc>
          <w:tcPr>
            <w:tcW w:w="2700" w:type="dxa"/>
          </w:tcPr>
          <w:p w:rsidR="00A90E77" w:rsidRDefault="00A514C5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0=Facility discharge care score below the national average</w:t>
            </w:r>
          </w:p>
          <w:p w:rsidR="00A514C5" w:rsidRDefault="00A514C5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14C5" w:rsidRPr="00A90E77" w:rsidRDefault="00A514C5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1= Facility discharge score at or above the national average</w:t>
            </w:r>
          </w:p>
        </w:tc>
        <w:tc>
          <w:tcPr>
            <w:tcW w:w="4135" w:type="dxa"/>
          </w:tcPr>
          <w:p w:rsidR="00A90E77" w:rsidRDefault="00A514C5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Dichotomous variable indicating whether the proportion of hospitals in a state is above or below the national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average of the facility discharge care subscale score</w:t>
            </w:r>
          </w:p>
          <w:p w:rsidR="00C10045" w:rsidRDefault="00C10045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14C5" w:rsidRPr="00A90E77" w:rsidRDefault="00C10045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facility discharge care subscale score is a composite of a hospital’s assurance of ambulatory breastfeeding support. A dichotomous variable was created to indicate states that were greater than or lower than the national average of 43.33 out of 100</w:t>
            </w:r>
          </w:p>
        </w:tc>
      </w:tr>
    </w:tbl>
    <w:p w:rsidR="00915BAC" w:rsidRDefault="00915BAC" w:rsidP="00915BAC"/>
    <w:p w:rsidR="00915BAC" w:rsidRDefault="00915BAC" w:rsidP="00915BAC"/>
    <w:p w:rsidR="00086020" w:rsidRDefault="00915BAC" w:rsidP="00086020">
      <w:pPr>
        <w:pStyle w:val="Heading1"/>
      </w:pPr>
      <w:r>
        <w:t xml:space="preserve">Dataset: </w:t>
      </w:r>
      <w:r w:rsidR="00C10045">
        <w:t>PASTL_SCORE</w:t>
      </w:r>
    </w:p>
    <w:p w:rsidR="00C10045" w:rsidRDefault="00086020" w:rsidP="00086020">
      <w:r>
        <w:t xml:space="preserve">This dataset is </w:t>
      </w:r>
      <w:r w:rsidR="00171988">
        <w:t xml:space="preserve">from the </w:t>
      </w:r>
      <w:r w:rsidR="00C10045">
        <w:t xml:space="preserve">Play </w:t>
      </w:r>
      <w:proofErr w:type="gramStart"/>
      <w:r w:rsidR="00C10045">
        <w:t>Across</w:t>
      </w:r>
      <w:proofErr w:type="gramEnd"/>
      <w:r w:rsidR="00C10045">
        <w:t xml:space="preserve"> St. Louis project. </w:t>
      </w:r>
      <w:r w:rsidR="00C10045">
        <w:t>Public playgrounds in St. Louis were assessed for safety, access, quality, and usability and summary scores were calculated. These scores were summarized at the neighborhood level.</w:t>
      </w:r>
    </w:p>
    <w:p w:rsidR="00C10045" w:rsidRDefault="00C10045" w:rsidP="00086020"/>
    <w:p w:rsidR="00171988" w:rsidRPr="00D7434A" w:rsidRDefault="00171988" w:rsidP="00171988">
      <w:pPr>
        <w:pStyle w:val="NormalWeb"/>
        <w:ind w:left="640" w:hanging="640"/>
        <w:rPr>
          <w:u w:val="single"/>
        </w:rPr>
      </w:pPr>
      <w:r w:rsidRPr="00D7434A">
        <w:rPr>
          <w:u w:val="single"/>
        </w:rPr>
        <w:t xml:space="preserve">Source: </w:t>
      </w:r>
    </w:p>
    <w:p w:rsidR="00171988" w:rsidRDefault="00C10045" w:rsidP="00C10045">
      <w:r>
        <w:t>Arroyo-Johnson C, Woodward K, Milam L, Ackermann N, Goodman MS, Hipp JA. Still separate, still unequ</w:t>
      </w:r>
      <w:bookmarkStart w:id="0" w:name="_GoBack"/>
      <w:bookmarkEnd w:id="0"/>
      <w:r>
        <w:t xml:space="preserve">al: Social determinants of playground safety and proximity. </w:t>
      </w:r>
      <w:r w:rsidRPr="00C10045">
        <w:rPr>
          <w:i/>
          <w:iCs/>
        </w:rPr>
        <w:t>J Urban Heal</w:t>
      </w:r>
      <w:r>
        <w:t>. 2016</w:t>
      </w:r>
      <w:proofErr w:type="gramStart"/>
      <w:r>
        <w:t>;93</w:t>
      </w:r>
      <w:proofErr w:type="gramEnd"/>
      <w:r>
        <w:t xml:space="preserve">(4):627-638. </w:t>
      </w:r>
      <w:proofErr w:type="gramStart"/>
      <w:r>
        <w:t>doi:</w:t>
      </w:r>
      <w:proofErr w:type="gramEnd"/>
      <w:r>
        <w:t>10.1007/s11524-016-0063-8.</w:t>
      </w:r>
    </w:p>
    <w:p w:rsidR="00C10045" w:rsidRDefault="00C10045" w:rsidP="00C100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086020" w:rsidRPr="00C10045" w:rsidTr="00430806">
        <w:tc>
          <w:tcPr>
            <w:tcW w:w="2515" w:type="dxa"/>
          </w:tcPr>
          <w:p w:rsidR="00086020" w:rsidRPr="00C10045" w:rsidRDefault="00086020" w:rsidP="00430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045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2700" w:type="dxa"/>
          </w:tcPr>
          <w:p w:rsidR="00086020" w:rsidRPr="00C10045" w:rsidRDefault="00086020" w:rsidP="00430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045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</w:tc>
        <w:tc>
          <w:tcPr>
            <w:tcW w:w="4135" w:type="dxa"/>
          </w:tcPr>
          <w:p w:rsidR="00086020" w:rsidRPr="00C10045" w:rsidRDefault="00086020" w:rsidP="004308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045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086020" w:rsidRPr="00C10045" w:rsidTr="00430806">
        <w:tc>
          <w:tcPr>
            <w:tcW w:w="2515" w:type="dxa"/>
          </w:tcPr>
          <w:p w:rsidR="00086020" w:rsidRPr="00C10045" w:rsidRDefault="00706041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10045">
              <w:rPr>
                <w:rFonts w:ascii="Times New Roman" w:hAnsi="Times New Roman" w:cs="Times New Roman"/>
                <w:sz w:val="24"/>
                <w:szCs w:val="24"/>
              </w:rPr>
              <w:t>eighborhood</w:t>
            </w:r>
          </w:p>
        </w:tc>
        <w:tc>
          <w:tcPr>
            <w:tcW w:w="2700" w:type="dxa"/>
          </w:tcPr>
          <w:p w:rsidR="00086020" w:rsidRPr="00C10045" w:rsidRDefault="00C10045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135" w:type="dxa"/>
          </w:tcPr>
          <w:p w:rsidR="00086020" w:rsidRPr="00C10045" w:rsidRDefault="00C10045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Neighborhood name, identifier</w:t>
            </w:r>
          </w:p>
        </w:tc>
      </w:tr>
      <w:tr w:rsidR="00086020" w:rsidRPr="00C10045" w:rsidTr="00430806">
        <w:tc>
          <w:tcPr>
            <w:tcW w:w="2515" w:type="dxa"/>
          </w:tcPr>
          <w:p w:rsidR="00086020" w:rsidRPr="00C10045" w:rsidRDefault="00706041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90E77" w:rsidRPr="00C10045">
              <w:rPr>
                <w:rFonts w:ascii="Times New Roman" w:hAnsi="Times New Roman" w:cs="Times New Roman"/>
                <w:sz w:val="24"/>
                <w:szCs w:val="24"/>
              </w:rPr>
              <w:t>oscore</w:t>
            </w:r>
            <w:proofErr w:type="spellEnd"/>
          </w:p>
        </w:tc>
        <w:tc>
          <w:tcPr>
            <w:tcW w:w="2700" w:type="dxa"/>
          </w:tcPr>
          <w:p w:rsidR="00086020" w:rsidRPr="00C10045" w:rsidRDefault="00706041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135" w:type="dxa"/>
          </w:tcPr>
          <w:p w:rsidR="00086020" w:rsidRPr="00C10045" w:rsidRDefault="00706041" w:rsidP="00706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 playground safety score, proportion of safety standards met</w:t>
            </w:r>
          </w:p>
        </w:tc>
      </w:tr>
      <w:tr w:rsidR="00086020" w:rsidRPr="00C10045" w:rsidTr="00430806">
        <w:tc>
          <w:tcPr>
            <w:tcW w:w="2515" w:type="dxa"/>
          </w:tcPr>
          <w:p w:rsidR="00086020" w:rsidRPr="00C10045" w:rsidRDefault="00706041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90E77" w:rsidRPr="00C10045">
              <w:rPr>
                <w:rFonts w:ascii="Times New Roman" w:hAnsi="Times New Roman" w:cs="Times New Roman"/>
                <w:sz w:val="24"/>
                <w:szCs w:val="24"/>
              </w:rPr>
              <w:t>erownerocc</w:t>
            </w:r>
            <w:proofErr w:type="spellEnd"/>
          </w:p>
        </w:tc>
        <w:tc>
          <w:tcPr>
            <w:tcW w:w="2700" w:type="dxa"/>
          </w:tcPr>
          <w:p w:rsidR="00086020" w:rsidRPr="00C10045" w:rsidRDefault="00706041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 – 0-100%</w:t>
            </w:r>
          </w:p>
        </w:tc>
        <w:tc>
          <w:tcPr>
            <w:tcW w:w="4135" w:type="dxa"/>
          </w:tcPr>
          <w:p w:rsidR="00086020" w:rsidRPr="00C10045" w:rsidRDefault="00706041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 of owner-occupied housing</w:t>
            </w:r>
          </w:p>
        </w:tc>
      </w:tr>
      <w:tr w:rsidR="00A90E77" w:rsidRPr="00C10045" w:rsidTr="00430806">
        <w:tc>
          <w:tcPr>
            <w:tcW w:w="2515" w:type="dxa"/>
          </w:tcPr>
          <w:p w:rsidR="00A90E77" w:rsidRPr="00C10045" w:rsidRDefault="00706041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90E77" w:rsidRPr="00C10045">
              <w:rPr>
                <w:rFonts w:ascii="Times New Roman" w:hAnsi="Times New Roman" w:cs="Times New Roman"/>
                <w:sz w:val="24"/>
                <w:szCs w:val="24"/>
              </w:rPr>
              <w:t>ervacant</w:t>
            </w:r>
            <w:proofErr w:type="spellEnd"/>
          </w:p>
        </w:tc>
        <w:tc>
          <w:tcPr>
            <w:tcW w:w="2700" w:type="dxa"/>
          </w:tcPr>
          <w:p w:rsidR="00A90E77" w:rsidRPr="00C10045" w:rsidRDefault="00706041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Numeric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0-100%</w:t>
            </w:r>
          </w:p>
        </w:tc>
        <w:tc>
          <w:tcPr>
            <w:tcW w:w="4135" w:type="dxa"/>
          </w:tcPr>
          <w:p w:rsidR="00A90E77" w:rsidRPr="00C10045" w:rsidRDefault="00706041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 of vacant buildings</w:t>
            </w:r>
          </w:p>
        </w:tc>
      </w:tr>
      <w:tr w:rsidR="00A90E77" w:rsidRPr="00C10045" w:rsidTr="00430806">
        <w:tc>
          <w:tcPr>
            <w:tcW w:w="2515" w:type="dxa"/>
          </w:tcPr>
          <w:p w:rsidR="00A90E77" w:rsidRPr="00C10045" w:rsidRDefault="00A90E77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0045">
              <w:rPr>
                <w:rFonts w:ascii="Times New Roman" w:hAnsi="Times New Roman" w:cs="Times New Roman"/>
                <w:sz w:val="24"/>
                <w:szCs w:val="24"/>
              </w:rPr>
              <w:t>peryouth</w:t>
            </w:r>
            <w:proofErr w:type="spellEnd"/>
          </w:p>
        </w:tc>
        <w:tc>
          <w:tcPr>
            <w:tcW w:w="2700" w:type="dxa"/>
          </w:tcPr>
          <w:p w:rsidR="00A90E77" w:rsidRPr="00C10045" w:rsidRDefault="00706041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Numeric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0-100%</w:t>
            </w:r>
          </w:p>
        </w:tc>
        <w:tc>
          <w:tcPr>
            <w:tcW w:w="4135" w:type="dxa"/>
          </w:tcPr>
          <w:p w:rsidR="00A90E77" w:rsidRPr="00C10045" w:rsidRDefault="00706041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 of youth, percentage of the neighborhood’s population that is under 18</w:t>
            </w:r>
          </w:p>
        </w:tc>
      </w:tr>
    </w:tbl>
    <w:p w:rsidR="00C63C79" w:rsidRDefault="00C63C79" w:rsidP="00C63C79"/>
    <w:sectPr w:rsidR="00C6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03C3A"/>
    <w:multiLevelType w:val="hybridMultilevel"/>
    <w:tmpl w:val="98544E62"/>
    <w:lvl w:ilvl="0" w:tplc="0C5A5F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AC"/>
    <w:rsid w:val="00085827"/>
    <w:rsid w:val="00086020"/>
    <w:rsid w:val="00171988"/>
    <w:rsid w:val="003230C5"/>
    <w:rsid w:val="00531759"/>
    <w:rsid w:val="00645154"/>
    <w:rsid w:val="00706041"/>
    <w:rsid w:val="008606FE"/>
    <w:rsid w:val="00915BAC"/>
    <w:rsid w:val="00A514C5"/>
    <w:rsid w:val="00A90E77"/>
    <w:rsid w:val="00B955D9"/>
    <w:rsid w:val="00C10045"/>
    <w:rsid w:val="00C63C79"/>
    <w:rsid w:val="00D7434A"/>
    <w:rsid w:val="00E5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C6F9D-6B64-41DA-948C-74195ED1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BAC"/>
    <w:pPr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AC"/>
    <w:rPr>
      <w:b/>
    </w:rPr>
  </w:style>
  <w:style w:type="table" w:styleId="TableGrid">
    <w:name w:val="Table Grid"/>
    <w:basedOn w:val="TableNormal"/>
    <w:uiPriority w:val="39"/>
    <w:rsid w:val="00915BAC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1988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0858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dc.gov/nchs/data/nvsr/nvsr62/nvsr62_0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Sarah</dc:creator>
  <cp:keywords/>
  <dc:description/>
  <cp:lastModifiedBy>Lyons, Sarah</cp:lastModifiedBy>
  <cp:revision>3</cp:revision>
  <dcterms:created xsi:type="dcterms:W3CDTF">2016-11-14T19:05:00Z</dcterms:created>
  <dcterms:modified xsi:type="dcterms:W3CDTF">2016-11-14T20:24:00Z</dcterms:modified>
</cp:coreProperties>
</file>