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C62F7" w:rsidRDefault="00000000">
      <w:pPr>
        <w:pStyle w:val="Title"/>
        <w:pBdr>
          <w:top w:val="nil"/>
          <w:left w:val="nil"/>
          <w:bottom w:val="nil"/>
          <w:right w:val="nil"/>
          <w:between w:val="nil"/>
        </w:pBdr>
      </w:pPr>
      <w:bookmarkStart w:id="0" w:name="_gjdgxs" w:colFirst="0" w:colLast="0"/>
      <w:bookmarkEnd w:id="0"/>
      <w:r>
        <w:t>Reaction Paper: Behavioral Control and Reward Sensitivity in Adolescents’ Risk Taking Behavior: A Longitudinal TRAILS Study</w:t>
      </w:r>
    </w:p>
    <w:p w14:paraId="00000002" w14:textId="77777777" w:rsidR="00CC62F7" w:rsidRDefault="00CC62F7">
      <w:pPr>
        <w:pStyle w:val="Subtitle"/>
        <w:pBdr>
          <w:top w:val="nil"/>
          <w:left w:val="nil"/>
          <w:bottom w:val="nil"/>
          <w:right w:val="nil"/>
          <w:between w:val="nil"/>
        </w:pBdr>
      </w:pPr>
      <w:bookmarkStart w:id="1" w:name="_30j0zll" w:colFirst="0" w:colLast="0"/>
      <w:bookmarkEnd w:id="1"/>
    </w:p>
    <w:p w14:paraId="00000003" w14:textId="77777777" w:rsidR="00CC62F7" w:rsidRDefault="00000000">
      <w:pPr>
        <w:pStyle w:val="Subtitle"/>
        <w:pBdr>
          <w:top w:val="nil"/>
          <w:left w:val="nil"/>
          <w:bottom w:val="nil"/>
          <w:right w:val="nil"/>
          <w:between w:val="nil"/>
        </w:pBdr>
      </w:pPr>
      <w:bookmarkStart w:id="2" w:name="_1fob9te" w:colFirst="0" w:colLast="0"/>
      <w:bookmarkEnd w:id="2"/>
      <w:r>
        <w:t xml:space="preserve">   Melody N. Castañeda Flores</w:t>
      </w:r>
    </w:p>
    <w:p w14:paraId="00000004" w14:textId="77777777" w:rsidR="00CC62F7" w:rsidRDefault="00000000">
      <w:pPr>
        <w:pStyle w:val="Subtitle"/>
        <w:pBdr>
          <w:top w:val="nil"/>
          <w:left w:val="nil"/>
          <w:bottom w:val="nil"/>
          <w:right w:val="nil"/>
          <w:between w:val="nil"/>
        </w:pBdr>
      </w:pPr>
      <w:bookmarkStart w:id="3" w:name="_3znysh7" w:colFirst="0" w:colLast="0"/>
      <w:bookmarkEnd w:id="3"/>
      <w:r>
        <w:t>California State University of Long Beach</w:t>
      </w:r>
    </w:p>
    <w:p w14:paraId="00000005" w14:textId="77777777" w:rsidR="00CC62F7" w:rsidRDefault="00000000">
      <w:pPr>
        <w:pStyle w:val="Subtitle"/>
        <w:pBdr>
          <w:top w:val="nil"/>
          <w:left w:val="nil"/>
          <w:bottom w:val="nil"/>
          <w:right w:val="nil"/>
          <w:between w:val="nil"/>
        </w:pBdr>
      </w:pPr>
      <w:bookmarkStart w:id="4" w:name="_y279nhzcdg8t" w:colFirst="0" w:colLast="0"/>
      <w:bookmarkEnd w:id="4"/>
      <w:r>
        <w:t xml:space="preserve">PSY 241: Psychobiology </w:t>
      </w:r>
    </w:p>
    <w:p w14:paraId="00000006" w14:textId="77777777" w:rsidR="00CC62F7" w:rsidRDefault="00000000">
      <w:pPr>
        <w:pStyle w:val="Subtitle"/>
        <w:pBdr>
          <w:top w:val="nil"/>
          <w:left w:val="nil"/>
          <w:bottom w:val="nil"/>
          <w:right w:val="nil"/>
          <w:between w:val="nil"/>
        </w:pBdr>
      </w:pPr>
      <w:bookmarkStart w:id="5" w:name="_ss3ymwuhk0wb" w:colFirst="0" w:colLast="0"/>
      <w:bookmarkEnd w:id="5"/>
      <w:r>
        <w:t xml:space="preserve">Dr. Samar Needham </w:t>
      </w:r>
    </w:p>
    <w:p w14:paraId="00000007" w14:textId="77777777" w:rsidR="00CC62F7" w:rsidRDefault="00000000">
      <w:pPr>
        <w:pStyle w:val="Subtitle"/>
        <w:pBdr>
          <w:top w:val="nil"/>
          <w:left w:val="nil"/>
          <w:bottom w:val="nil"/>
          <w:right w:val="nil"/>
          <w:between w:val="nil"/>
        </w:pBdr>
      </w:pPr>
      <w:bookmarkStart w:id="6" w:name="_nkebmnj9xi8v" w:colFirst="0" w:colLast="0"/>
      <w:bookmarkEnd w:id="6"/>
      <w:r>
        <w:t>May 1, 2024</w:t>
      </w:r>
    </w:p>
    <w:p w14:paraId="00000008" w14:textId="77777777" w:rsidR="00CC62F7" w:rsidRDefault="00CC62F7">
      <w:pPr>
        <w:pStyle w:val="Subtitle"/>
        <w:rPr>
          <w:i/>
          <w:iCs/>
        </w:rPr>
      </w:pPr>
      <w:bookmarkStart w:id="7" w:name="_3dy6vkm" w:colFirst="0" w:colLast="0"/>
      <w:bookmarkEnd w:id="7"/>
    </w:p>
    <w:p w14:paraId="00000009" w14:textId="77777777" w:rsidR="00CC62F7" w:rsidRDefault="00000000">
      <w:pPr>
        <w:pBdr>
          <w:top w:val="nil"/>
          <w:left w:val="nil"/>
          <w:bottom w:val="nil"/>
          <w:right w:val="nil"/>
          <w:between w:val="nil"/>
        </w:pBdr>
        <w:ind w:firstLine="720"/>
      </w:pPr>
      <w:r>
        <w:t>.</w:t>
      </w:r>
    </w:p>
    <w:p w14:paraId="0000000A" w14:textId="77777777" w:rsidR="00CC62F7" w:rsidRDefault="00CC62F7">
      <w:pPr>
        <w:pBdr>
          <w:top w:val="nil"/>
          <w:left w:val="nil"/>
          <w:bottom w:val="nil"/>
          <w:right w:val="nil"/>
          <w:between w:val="nil"/>
        </w:pBdr>
        <w:ind w:firstLine="720"/>
      </w:pPr>
    </w:p>
    <w:p w14:paraId="0000000B" w14:textId="77777777" w:rsidR="00CC62F7" w:rsidRDefault="00000000">
      <w:pPr>
        <w:pBdr>
          <w:top w:val="nil"/>
          <w:left w:val="nil"/>
          <w:bottom w:val="nil"/>
          <w:right w:val="nil"/>
          <w:between w:val="nil"/>
        </w:pBdr>
        <w:ind w:firstLine="720"/>
      </w:pPr>
      <w:r>
        <w:br w:type="page"/>
      </w:r>
    </w:p>
    <w:p w14:paraId="0000000C" w14:textId="77777777" w:rsidR="00CC62F7" w:rsidRDefault="00000000">
      <w:pPr>
        <w:pStyle w:val="Heading1"/>
        <w:pBdr>
          <w:top w:val="nil"/>
          <w:left w:val="nil"/>
          <w:bottom w:val="nil"/>
          <w:right w:val="nil"/>
          <w:between w:val="nil"/>
        </w:pBdr>
      </w:pPr>
      <w:bookmarkStart w:id="8" w:name="_2s8eyo1" w:colFirst="0" w:colLast="0"/>
      <w:bookmarkEnd w:id="8"/>
      <w:r>
        <w:lastRenderedPageBreak/>
        <w:t>Behavioral Control and Reward Sensitivity in Adolescents’ Risk Taking Behavior: A Longitudinal TRAILS Study</w:t>
      </w:r>
    </w:p>
    <w:p w14:paraId="0000000D" w14:textId="77777777" w:rsidR="00CC62F7" w:rsidRDefault="00000000">
      <w:pPr>
        <w:ind w:firstLine="720"/>
      </w:pPr>
      <w:r>
        <w:t xml:space="preserve">Development of the prefrontal cortex is widely known to not be fully developed in adolescents, so it is sensible to attribute their behavior to an immature decision making structure. Although some individuals appear to be more inclined towards risky decisions, being able to decipher whether some people are more predisposed to those actions is under question. Since no two people experience the same feeling, some people may experience reward and risk drastically different than others. The arousal theory of motivation may act as an explanation for the disparity. Individuals require alternate levels of arousal which implies that some activities may be more rewarding to one than others. For example, sky diving may feel very rewarding for a person because of the adrenaline rush, but a person who is overly anxious may perceive it as torture. Could this difference be correlated to predisposed character traits? A 2017 longitudinal study conducted by youth studies Dr. Margot Peeters and her peers explores the relationship between reward sensitivity and risk behavior in adolescents. The following paper explains and addresses the findings of the study using varying evidential sources. </w:t>
      </w:r>
    </w:p>
    <w:p w14:paraId="0000000E" w14:textId="77777777" w:rsidR="00CC62F7" w:rsidRDefault="00000000">
      <w:pPr>
        <w:ind w:firstLine="720"/>
      </w:pPr>
      <w:r>
        <w:t xml:space="preserve">Dutch adolescents participating in a longitudinal study titled “Behavioral Control and Reward Sensitivity in Adolescents’ Risk Taking Behavior: A Longitudinal TRAILS Study” was authored by Dr. Margot Peeters and others, then published by Frontiers in Psychology in 2017. Adolescents were monitored over three waves, beginning at age 11 and ending at age 16. The study outlined the different behavioral controls, risk behaviors, and reward sensitivities that would be employed throughout the course of the experiment. A self assessment assessing temperament was used to determine effortful control at the first wave. Within the cognitive control assessment at the first wave, inhibition and working memory were tested. Risk behavior </w:t>
      </w:r>
      <w:r>
        <w:lastRenderedPageBreak/>
        <w:t>in adolescents is characterized as typical dangers posed to them throughout development, specifically alcohol and drug use. Alcohol, smoking, and cannabis use were considered both independently and as a comorbidity. Data regarding risk behavior was collected at both the first (age 11) and third wave (age 16) which provided conclusive information for the study.</w:t>
      </w:r>
    </w:p>
    <w:p w14:paraId="0000000F" w14:textId="77777777" w:rsidR="00CC62F7" w:rsidRDefault="00000000">
      <w:pPr>
        <w:ind w:firstLine="720"/>
      </w:pPr>
      <w:r>
        <w:t xml:space="preserve">Findings provided in the study indicated a significant correlation between behavioral controls, reward sensitivities, and risk behaviors. Inspired by prior works examining neural regions associated with reward and control in adolescents, this study intended to build upon these discoveries with an emphasis on risk behavior. The finding aligns with the initial hypothesis of the experiment: weak behavioral control at the first wave combined with high reward sensitivity at the third wave results in high susceptibility for risk behaviors. Although no specific biological mechanism of behavior was used in the conduct of the study, brain structures are implied and used as supporting evidence throughout the article alongside this paper. Since the experiment involves two differing factors, multiple brain structures account for risk taking behavior and control, while the mesolimbic pathway can play a factor in reward sensitivity. Considering the results and limitations of the study, I agree with the original hypothesis of reward sensitivity and behavioral controls playing roles in risk taking because of the neuroimaging techniques, social implications, and hormone imbalances that enhanced the validity of the study. </w:t>
      </w:r>
    </w:p>
    <w:p w14:paraId="00000010" w14:textId="77777777" w:rsidR="00CC62F7" w:rsidRDefault="00000000">
      <w:pPr>
        <w:rPr>
          <w:b/>
          <w:bCs/>
        </w:rPr>
      </w:pPr>
      <w:r>
        <w:rPr>
          <w:b/>
          <w:bCs/>
        </w:rPr>
        <w:t>Risk Processing</w:t>
      </w:r>
    </w:p>
    <w:p w14:paraId="00000011" w14:textId="77777777" w:rsidR="00CC62F7" w:rsidRDefault="00000000">
      <w:r>
        <w:rPr>
          <w:b/>
          <w:bCs/>
        </w:rPr>
        <w:tab/>
      </w:r>
      <w:r>
        <w:t xml:space="preserve">Risk taking is not itself an independent variable, but consists of a subset of variables that enforces behavior controls like cognitive controls role in risk behavior. Within risk taking behavior there is risk and the unknown. Participating in a gamble without knowing the outcome is risky because there is no way of determining what reward or fault one will experience. Though, another form of risk is that of knowing the possible outcomes and still willingly </w:t>
      </w:r>
      <w:r>
        <w:lastRenderedPageBreak/>
        <w:t xml:space="preserve">participating for the possibility of reward. In the primary article, participants were partaking in risk because they were aware of the possible consequences and advantages of the substances they used, but used them anyway. Another study using a hidden wheel of fortune and uncovered wheel of fortune tested this theory of “risk” and “ambiguity” and found that each type of risk behavior was processed in different regions of the brain (Blankenstein et al., 2018). It is then inferred that analyzing of “risk” possibilities is conducted in the bilateral precentral gyrus and other structures. Therefore, risk behavior is processed and analyzed through behavior controls which differ from person to person, but ultimately can make one more susceptible or resistant to risk. </w:t>
      </w:r>
    </w:p>
    <w:p w14:paraId="00000012" w14:textId="77777777" w:rsidR="00CC62F7" w:rsidRDefault="00000000">
      <w:pPr>
        <w:rPr>
          <w:b/>
          <w:bCs/>
        </w:rPr>
      </w:pPr>
      <w:r>
        <w:rPr>
          <w:b/>
          <w:bCs/>
        </w:rPr>
        <w:t>Functional MRI (fMRI)</w:t>
      </w:r>
    </w:p>
    <w:p w14:paraId="00000013" w14:textId="77777777" w:rsidR="00CC62F7" w:rsidRDefault="00000000">
      <w:r>
        <w:rPr>
          <w:b/>
          <w:bCs/>
        </w:rPr>
        <w:tab/>
      </w:r>
      <w:r>
        <w:t xml:space="preserve">Neuroimaging helps isolate which brain structures are activated when presented with rewarding stimuli, this neural activation differs between adolescents and adults which may explain why risk taking is more common in the latter. While decision making and behavioral control are prominent in the prefrontal cortex, there is evidence that reward sensitivity occurs elsewhere. Specifically, activation of the nucleus accumbens in the ventral striatum is more likely during reward in adolescents than in adults (Silverman et al., 2015). Combined with an underdeveloped frontal lobe, this directly supports the hypothesis that weak behavioral control and reward sensitivity that occurs during adolescence causes a high risk scenario. It is also confirmed that adolescents experience rewarding stimuli more intensely especially in regards to the physical gratification of an action; specifically, fMRI imaging showed an activation of the anterior insula when confronted with risk scenarios </w:t>
      </w:r>
      <w:r>
        <w:rPr>
          <w:b/>
          <w:bCs/>
        </w:rPr>
        <w:t xml:space="preserve"> </w:t>
      </w:r>
      <w:r>
        <w:t xml:space="preserve">(Silverman et al., 2015). This high sensitivity to rewarding stimuli during risk scenarios directly reinforces the idea of a correlation between reward sensitivity and risk behavior by providing a neural image. Susceptibility to risk </w:t>
      </w:r>
      <w:r>
        <w:lastRenderedPageBreak/>
        <w:t xml:space="preserve">behaviors like drugs and alcohol are then coupled with the rewarding effects of the substances. Alcohols’ sedative effects offer a rewarding feeling to adolescents who may be stressed or anxious which causes them to become prone to regular alcohol use–or risk behavior.   </w:t>
      </w:r>
    </w:p>
    <w:p w14:paraId="00000014" w14:textId="77777777" w:rsidR="00CC62F7" w:rsidRDefault="00000000">
      <w:pPr>
        <w:ind w:firstLine="720"/>
      </w:pPr>
      <w:r>
        <w:t xml:space="preserve">Presence of others in risky situations also had an impact on how highly an area was activated, which points to evidence of behavioral controls' effect on risk behavior. Particularly, a 2015 fMRI study was done using adolescent and mother pairs to determine whether the mothers presence altered risk decision making (Telzer et al.). To ascertain this hypothesis, the adolescents performed a driving simulation while being observed with fMRI imagery with and without their mothers present. Findings from this study discovered when the adolescents successfully committed a risky choice in the presence of their mothers there were fewer activation signals in the ventral striatum than when alone. This indicates that behavioral control is impacted when in the presence of others, relaying over to the intensity of reward. Though what the ventral striatum role truly is can be elaborated on in the next section. </w:t>
      </w:r>
    </w:p>
    <w:p w14:paraId="00000015" w14:textId="77777777" w:rsidR="00CC62F7" w:rsidRDefault="00000000">
      <w:r>
        <w:rPr>
          <w:b/>
          <w:bCs/>
        </w:rPr>
        <w:t>Ventral Striatum Activity</w:t>
      </w:r>
    </w:p>
    <w:p w14:paraId="00000016" w14:textId="77777777" w:rsidR="00CC62F7" w:rsidRDefault="00000000">
      <w:pPr>
        <w:ind w:firstLine="720"/>
      </w:pPr>
      <w:r>
        <w:t xml:space="preserve">Effortful control is partially responsible for activity in the Ventral Striatum (VS)  which points towards a characteristic trait responsible for risk taking behavior. Though it may appear obvious that risk taking is a matter of a person's temperament, the imaging that highlights this area's activation provides supporting evidence to how reward is received differently while risk taking. Pointedly, Dr. Schreuders and her team conducted a study using fMRI data to deduce the development and circumstantial activation of the VS  in both adolescents and adults (2018). Using the Behavioral Activation Scale (BAS)  of Drive, it was found that adolescents 16 or younger who were more motivated to pursue goals showed greater activity in the nucleus accumbens when winning (Schreuders et al., 2018). Essentially, a clear motive provided effortful </w:t>
      </w:r>
      <w:r>
        <w:lastRenderedPageBreak/>
        <w:t xml:space="preserve">control significance, with the VS activation indicating a correlation between behavior control and reward sensitivity. That is, higher behavior control may coincide with high reward sensitivity. </w:t>
      </w:r>
    </w:p>
    <w:p w14:paraId="00000017" w14:textId="77777777" w:rsidR="00CC62F7" w:rsidRDefault="00000000">
      <w:pPr>
        <w:ind w:firstLine="720"/>
      </w:pPr>
      <w:r>
        <w:t xml:space="preserve">Additionally, the correlation between increased VS activity has been correlated with some risk trait behaviors themselves. Impulsivity, namely, is closely tied to risk taking which has become a trademark for adolescence. Thus, activation of the VS in impulsive and high arousal adolescents is greater as a result (Bjork &amp; Pardini, 2015). So, predispositions such as impulsivity traits make an individual more susceptible to high reward sensitivity and place them at greater risk for risk behaviors ultimately a result of their initial risk traits. This finding exemplifies how different biological functions can determine a person's neural response despite social influences.   </w:t>
      </w:r>
    </w:p>
    <w:p w14:paraId="00000018" w14:textId="77777777" w:rsidR="00CC62F7" w:rsidRDefault="00000000">
      <w:pPr>
        <w:rPr>
          <w:b/>
          <w:bCs/>
        </w:rPr>
      </w:pPr>
      <w:r>
        <w:rPr>
          <w:b/>
          <w:bCs/>
        </w:rPr>
        <w:t xml:space="preserve">Social Behavioral Regulation </w:t>
      </w:r>
    </w:p>
    <w:p w14:paraId="00000019" w14:textId="77777777" w:rsidR="00CC62F7" w:rsidRDefault="00000000">
      <w:r>
        <w:rPr>
          <w:b/>
          <w:bCs/>
        </w:rPr>
        <w:tab/>
      </w:r>
      <w:r>
        <w:t>Social schemas have been implied to determine whether a stimulus is rewarding or not; which correlates to whether they engage in a risky rewarding activity. What makes individuals engage in gambling whether it be rock, paper, scissors or at a casino? The idea of winning or gaining something is enough to engage in risky behavior, in other words a positive–gain–stimuli increases the likelihood of engaging in risk taking. This view is supported by a 2014 study published in Developmental Neuroscience which found that positive stimuli, in this case faces, led adolescents to respond more impulsively which is reflected in evidence of high striatal activation (Dreyfuss et al.).</w:t>
      </w:r>
      <w:r>
        <w:rPr>
          <w:b/>
          <w:bCs/>
        </w:rPr>
        <w:t xml:space="preserve"> </w:t>
      </w:r>
      <w:r>
        <w:t xml:space="preserve">Because positive faces, such as a joyful expression, are societally viewed as friendly and thus keen to work in one's favor, they are perceived as rewardful. For instance, when asking permission it is a good sign to see the person smiling as opposed to angry. Therefore, when faced with positive expressions the reward center is activated and impulsivity, which one can consider risk behavior, is encouraged by the VS. </w:t>
      </w:r>
    </w:p>
    <w:p w14:paraId="0000001A" w14:textId="77777777" w:rsidR="00CC62F7" w:rsidRDefault="00000000">
      <w:pPr>
        <w:ind w:firstLine="720"/>
        <w:rPr>
          <w:color w:val="93C47D"/>
        </w:rPr>
      </w:pPr>
      <w:r>
        <w:lastRenderedPageBreak/>
        <w:t>Similarly, the presence of peers can increase participation in risk behavior for adolescents which suggests an effortful control to “impress” peers. Unfortunately, this phenomena has become so widely known the term “peer pressure” has become a common phrase. What is not as widely known is the neurological influences that cause the risk of falling victim to peer pressure. As aforementioned the VS is highly active in relation to reward, the company of peers had a positive relationship with activation independent from whether adolescents responded being more or less resistant to peer influence (Van Duijvenvoorde et al., 2016). Simply, the mere participation of a participant's peers caused an activation of the VS, because of the reward possibility or acceptance. In line with several developmental theories, acceptance is a vital stage in adolescence which in turn presents a rewarding effect. Social behavioral implications on control and reward have demonstrated support for the idea of an intercorrelation with risk taking alongside providing explanations for why it is more common during adolescence. Though social behavioral models go hand in hand with biological developmental models that play an arguably more significant role.</w:t>
      </w:r>
    </w:p>
    <w:p w14:paraId="0000001B" w14:textId="77777777" w:rsidR="00CC62F7" w:rsidRDefault="00000000">
      <w:pPr>
        <w:rPr>
          <w:b/>
          <w:bCs/>
        </w:rPr>
      </w:pPr>
      <w:r>
        <w:rPr>
          <w:b/>
          <w:bCs/>
        </w:rPr>
        <w:t>Testosterones Role in Males</w:t>
      </w:r>
    </w:p>
    <w:p w14:paraId="0000001C" w14:textId="77777777" w:rsidR="00CC62F7" w:rsidRDefault="00000000">
      <w:r>
        <w:tab/>
        <w:t xml:space="preserve">As males develop, a rise in testosterone does too which influences behavior and decision making that may be correlated to increased risk behavior. Dr. Sabine Peters and colleagues tested this correlation in a dual sex experiment where alcohol use and testosterone level data were collected (Peters et al., 2015). Within this design, an indirect correlation was found through the amygdala–orbitofrontal cortex connectivity. No relationship whatsoever was present amongst the girls, but the presence of the indirect correlation amongst the boys indicates the “male” hormone plays a, albeit small, role in alcohol consumption. Risk behavior in the principle article </w:t>
      </w:r>
      <w:r>
        <w:lastRenderedPageBreak/>
        <w:t xml:space="preserve">encompasses alcohol use, so if a developmental hormone like testosterone is connected to it then there may be a future finding that reinforces the idea. </w:t>
      </w:r>
    </w:p>
    <w:p w14:paraId="0000001D" w14:textId="77777777" w:rsidR="00CC62F7" w:rsidRDefault="00000000">
      <w:pPr>
        <w:rPr>
          <w:b/>
          <w:bCs/>
        </w:rPr>
      </w:pPr>
      <w:r>
        <w:rPr>
          <w:b/>
          <w:bCs/>
        </w:rPr>
        <w:t>Conclusion</w:t>
      </w:r>
    </w:p>
    <w:p w14:paraId="0000001E" w14:textId="77777777" w:rsidR="00CC62F7" w:rsidRDefault="00000000">
      <w:pPr>
        <w:ind w:firstLine="720"/>
      </w:pPr>
      <w:r>
        <w:t xml:space="preserve">.  Overall, many biological and social factors influence whether an individual becomes or develops to be prone to risk taking behavior. Functional MRI’s offer an in depth view into how not only reward sensitivity is processed, but control too. Social controls like the presence of those who one seeks validation from and who one perceives as careful from can shift a person's behavior completely. Thus, I agree with the article “Behavioral Control and Reward Sensitivity in Adolescents’ Risk Taking Behavior: A Longitudinal TRAILS Study” findings because it provided a clear yet complex depiction of how three different variables both together and independently affected risk taking. With several pieces of supporting sources, it is evident that a correlation is nearly strong enough to equal a causation. With more research into specific brain structures and hormone levels within them, it is possible to determine what exactly causes these differences amongst similar individuals. I am hopeful that this article will set a precedent on how adolescent substance use is approached and prevented in future behavioral neuroscience. </w:t>
      </w:r>
    </w:p>
    <w:p w14:paraId="0000001F" w14:textId="77777777" w:rsidR="00CC62F7" w:rsidRDefault="00CC62F7">
      <w:pPr>
        <w:ind w:firstLine="720"/>
      </w:pPr>
    </w:p>
    <w:p w14:paraId="00000020" w14:textId="77777777" w:rsidR="00CC62F7" w:rsidRDefault="00000000">
      <w:pPr>
        <w:pStyle w:val="Heading1"/>
        <w:pBdr>
          <w:top w:val="nil"/>
          <w:left w:val="nil"/>
          <w:bottom w:val="nil"/>
          <w:right w:val="nil"/>
          <w:between w:val="nil"/>
        </w:pBdr>
        <w:jc w:val="left"/>
      </w:pPr>
      <w:bookmarkStart w:id="9" w:name="_bht7xmmgnvx9" w:colFirst="0" w:colLast="0"/>
      <w:bookmarkEnd w:id="9"/>
      <w:r>
        <w:lastRenderedPageBreak/>
        <w:br w:type="page"/>
      </w:r>
    </w:p>
    <w:p w14:paraId="00000021" w14:textId="77777777" w:rsidR="00CC62F7" w:rsidRDefault="00000000">
      <w:pPr>
        <w:pStyle w:val="Heading1"/>
        <w:pBdr>
          <w:top w:val="nil"/>
          <w:left w:val="nil"/>
          <w:bottom w:val="nil"/>
          <w:right w:val="nil"/>
          <w:between w:val="nil"/>
        </w:pBdr>
      </w:pPr>
      <w:bookmarkStart w:id="10" w:name="_z337ya" w:colFirst="0" w:colLast="0"/>
      <w:bookmarkEnd w:id="10"/>
      <w:r>
        <w:lastRenderedPageBreak/>
        <w:t>References</w:t>
      </w:r>
    </w:p>
    <w:p w14:paraId="00000022" w14:textId="77777777" w:rsidR="00CC62F7" w:rsidRDefault="00000000">
      <w:pPr>
        <w:pBdr>
          <w:top w:val="nil"/>
          <w:left w:val="nil"/>
          <w:bottom w:val="nil"/>
          <w:right w:val="nil"/>
          <w:between w:val="nil"/>
        </w:pBdr>
        <w:rPr>
          <w:color w:val="212121"/>
          <w:highlight w:val="white"/>
        </w:rPr>
      </w:pPr>
      <w:r>
        <w:rPr>
          <w:color w:val="212121"/>
          <w:highlight w:val="white"/>
        </w:rPr>
        <w:t>Blankenstein, N. E., Schreuders, E., Peper, J. S., Crone, E. A., &amp; van Duijvenvoorde, A. C. K.</w:t>
      </w:r>
    </w:p>
    <w:p w14:paraId="00000023" w14:textId="77777777" w:rsidR="00CC62F7" w:rsidRDefault="00000000">
      <w:pPr>
        <w:pBdr>
          <w:top w:val="nil"/>
          <w:left w:val="nil"/>
          <w:bottom w:val="nil"/>
          <w:right w:val="nil"/>
          <w:between w:val="nil"/>
        </w:pBdr>
        <w:ind w:firstLine="720"/>
        <w:rPr>
          <w:color w:val="212121"/>
          <w:highlight w:val="white"/>
        </w:rPr>
      </w:pPr>
      <w:r>
        <w:rPr>
          <w:color w:val="212121"/>
          <w:highlight w:val="white"/>
        </w:rPr>
        <w:t xml:space="preserve"> (2018). Individual differences in risk-taking tendencies modulate the neural processing </w:t>
      </w:r>
    </w:p>
    <w:p w14:paraId="00000024" w14:textId="77777777" w:rsidR="00CC62F7" w:rsidRDefault="00000000">
      <w:pPr>
        <w:pBdr>
          <w:top w:val="nil"/>
          <w:left w:val="nil"/>
          <w:bottom w:val="nil"/>
          <w:right w:val="nil"/>
          <w:between w:val="nil"/>
        </w:pBdr>
        <w:ind w:firstLine="720"/>
        <w:rPr>
          <w:color w:val="212121"/>
          <w:highlight w:val="white"/>
        </w:rPr>
      </w:pPr>
      <w:r>
        <w:rPr>
          <w:color w:val="212121"/>
          <w:highlight w:val="white"/>
        </w:rPr>
        <w:t xml:space="preserve">of risky and ambiguous decision-making in adolescence. </w:t>
      </w:r>
      <w:r>
        <w:rPr>
          <w:i/>
          <w:iCs/>
          <w:color w:val="212121"/>
          <w:highlight w:val="white"/>
        </w:rPr>
        <w:t>NeuroImage</w:t>
      </w:r>
      <w:r>
        <w:rPr>
          <w:color w:val="212121"/>
          <w:highlight w:val="white"/>
        </w:rPr>
        <w:t xml:space="preserve">, </w:t>
      </w:r>
      <w:r>
        <w:rPr>
          <w:i/>
          <w:iCs/>
          <w:color w:val="212121"/>
          <w:highlight w:val="white"/>
        </w:rPr>
        <w:t>172</w:t>
      </w:r>
      <w:r>
        <w:rPr>
          <w:color w:val="212121"/>
          <w:highlight w:val="white"/>
        </w:rPr>
        <w:t xml:space="preserve">, 663–673. </w:t>
      </w:r>
    </w:p>
    <w:p w14:paraId="00000025" w14:textId="77777777" w:rsidR="00CC62F7" w:rsidRDefault="00000000">
      <w:pPr>
        <w:pBdr>
          <w:top w:val="nil"/>
          <w:left w:val="nil"/>
          <w:bottom w:val="nil"/>
          <w:right w:val="nil"/>
          <w:between w:val="nil"/>
        </w:pBdr>
        <w:ind w:firstLine="720"/>
        <w:rPr>
          <w:color w:val="212121"/>
          <w:highlight w:val="white"/>
        </w:rPr>
      </w:pPr>
      <w:r>
        <w:rPr>
          <w:color w:val="212121"/>
          <w:highlight w:val="white"/>
        </w:rPr>
        <w:t xml:space="preserve">https://doi.org/10.1016/j.neuroimage.2018.01.085.  </w:t>
      </w:r>
    </w:p>
    <w:p w14:paraId="00000026" w14:textId="77777777" w:rsidR="00CC62F7" w:rsidRDefault="00000000">
      <w:pPr>
        <w:pBdr>
          <w:top w:val="nil"/>
          <w:left w:val="nil"/>
          <w:bottom w:val="nil"/>
          <w:right w:val="nil"/>
          <w:between w:val="nil"/>
        </w:pBdr>
        <w:rPr>
          <w:color w:val="212121"/>
          <w:highlight w:val="white"/>
        </w:rPr>
      </w:pPr>
      <w:r>
        <w:rPr>
          <w:color w:val="212121"/>
          <w:highlight w:val="white"/>
        </w:rPr>
        <w:t>Bjork, J. M., &amp; Pardini, D. A. (2015). Who are those "risk-taking adolescents"? Individual</w:t>
      </w:r>
    </w:p>
    <w:p w14:paraId="00000027" w14:textId="77777777" w:rsidR="00CC62F7" w:rsidRDefault="00000000">
      <w:pPr>
        <w:pBdr>
          <w:top w:val="nil"/>
          <w:left w:val="nil"/>
          <w:bottom w:val="nil"/>
          <w:right w:val="nil"/>
          <w:between w:val="nil"/>
        </w:pBdr>
        <w:ind w:firstLine="720"/>
        <w:rPr>
          <w:i/>
          <w:iCs/>
          <w:color w:val="212121"/>
          <w:highlight w:val="white"/>
        </w:rPr>
      </w:pPr>
      <w:r>
        <w:rPr>
          <w:color w:val="212121"/>
          <w:highlight w:val="white"/>
        </w:rPr>
        <w:t xml:space="preserve"> differences in developmental neuroimaging research. </w:t>
      </w:r>
      <w:r>
        <w:rPr>
          <w:i/>
          <w:iCs/>
          <w:color w:val="212121"/>
          <w:highlight w:val="white"/>
        </w:rPr>
        <w:t xml:space="preserve">Developmental cognitive </w:t>
      </w:r>
    </w:p>
    <w:p w14:paraId="00000028" w14:textId="77777777" w:rsidR="00CC62F7" w:rsidRDefault="00000000">
      <w:pPr>
        <w:pBdr>
          <w:top w:val="nil"/>
          <w:left w:val="nil"/>
          <w:bottom w:val="nil"/>
          <w:right w:val="nil"/>
          <w:between w:val="nil"/>
        </w:pBdr>
        <w:ind w:firstLine="720"/>
        <w:rPr>
          <w:color w:val="212121"/>
          <w:highlight w:val="white"/>
        </w:rPr>
      </w:pPr>
      <w:r>
        <w:rPr>
          <w:i/>
          <w:iCs/>
          <w:color w:val="212121"/>
          <w:highlight w:val="white"/>
        </w:rPr>
        <w:t>neuroscience</w:t>
      </w:r>
      <w:r>
        <w:rPr>
          <w:color w:val="212121"/>
          <w:highlight w:val="white"/>
        </w:rPr>
        <w:t xml:space="preserve">, </w:t>
      </w:r>
      <w:r>
        <w:rPr>
          <w:i/>
          <w:iCs/>
          <w:color w:val="212121"/>
          <w:highlight w:val="white"/>
        </w:rPr>
        <w:t>11</w:t>
      </w:r>
      <w:r>
        <w:rPr>
          <w:color w:val="212121"/>
          <w:highlight w:val="white"/>
        </w:rPr>
        <w:t>, 56–64. https://doi.org/10.1016/j.dcn.2014.07.008.</w:t>
      </w:r>
    </w:p>
    <w:p w14:paraId="00000029" w14:textId="77777777" w:rsidR="00CC62F7" w:rsidRDefault="00000000">
      <w:pPr>
        <w:pBdr>
          <w:top w:val="nil"/>
          <w:left w:val="nil"/>
          <w:bottom w:val="nil"/>
          <w:right w:val="nil"/>
          <w:between w:val="nil"/>
        </w:pBdr>
        <w:rPr>
          <w:color w:val="212121"/>
          <w:highlight w:val="white"/>
        </w:rPr>
      </w:pPr>
      <w:r>
        <w:rPr>
          <w:color w:val="212121"/>
          <w:highlight w:val="white"/>
        </w:rPr>
        <w:t xml:space="preserve">Dreyfuss, M., Caudle, K., Drysdale, A. T., Johnston, N. E., Cohen, A. O., Somerville, L. H., </w:t>
      </w:r>
    </w:p>
    <w:p w14:paraId="0000002A" w14:textId="77777777" w:rsidR="00CC62F7" w:rsidRDefault="00000000">
      <w:pPr>
        <w:pBdr>
          <w:top w:val="nil"/>
          <w:left w:val="nil"/>
          <w:bottom w:val="nil"/>
          <w:right w:val="nil"/>
          <w:between w:val="nil"/>
        </w:pBdr>
        <w:ind w:firstLine="720"/>
        <w:rPr>
          <w:color w:val="212121"/>
          <w:highlight w:val="white"/>
        </w:rPr>
      </w:pPr>
      <w:r>
        <w:rPr>
          <w:color w:val="212121"/>
          <w:highlight w:val="white"/>
        </w:rPr>
        <w:t xml:space="preserve">Galván, A., Tottenham, N., Hare, T. A., &amp; Casey, B. J. (2014). Teens impulsively react </w:t>
      </w:r>
    </w:p>
    <w:p w14:paraId="0000002B" w14:textId="77777777" w:rsidR="00CC62F7" w:rsidRDefault="00000000">
      <w:pPr>
        <w:pBdr>
          <w:top w:val="nil"/>
          <w:left w:val="nil"/>
          <w:bottom w:val="nil"/>
          <w:right w:val="nil"/>
          <w:between w:val="nil"/>
        </w:pBdr>
        <w:ind w:left="720"/>
        <w:rPr>
          <w:color w:val="212121"/>
          <w:highlight w:val="white"/>
        </w:rPr>
      </w:pPr>
      <w:r>
        <w:rPr>
          <w:color w:val="212121"/>
          <w:highlight w:val="white"/>
        </w:rPr>
        <w:t xml:space="preserve">rather than retreat from threat. </w:t>
      </w:r>
      <w:r>
        <w:rPr>
          <w:i/>
          <w:iCs/>
          <w:color w:val="212121"/>
          <w:highlight w:val="white"/>
        </w:rPr>
        <w:t>Developmental neuroscience</w:t>
      </w:r>
      <w:r>
        <w:rPr>
          <w:color w:val="212121"/>
          <w:highlight w:val="white"/>
        </w:rPr>
        <w:t xml:space="preserve">, </w:t>
      </w:r>
      <w:r>
        <w:rPr>
          <w:i/>
          <w:iCs/>
          <w:color w:val="212121"/>
          <w:highlight w:val="white"/>
        </w:rPr>
        <w:t>36</w:t>
      </w:r>
      <w:r>
        <w:rPr>
          <w:color w:val="212121"/>
          <w:highlight w:val="white"/>
        </w:rPr>
        <w:t>(3-4), 220–227. https://doi.org/10.1159/000357755.</w:t>
      </w:r>
    </w:p>
    <w:p w14:paraId="0000002C" w14:textId="77777777" w:rsidR="00CC62F7" w:rsidRDefault="00000000">
      <w:pPr>
        <w:pBdr>
          <w:top w:val="nil"/>
          <w:left w:val="nil"/>
          <w:bottom w:val="nil"/>
          <w:right w:val="nil"/>
          <w:between w:val="nil"/>
        </w:pBdr>
        <w:rPr>
          <w:color w:val="212121"/>
          <w:highlight w:val="white"/>
        </w:rPr>
      </w:pPr>
      <w:r>
        <w:rPr>
          <w:color w:val="212121"/>
          <w:highlight w:val="white"/>
        </w:rPr>
        <w:t>Peters, S., Jolles, D. J., Duijvenvoorde, A. C. K., Crone, E. A., &amp; Peper, J. S. (2015). The link</w:t>
      </w:r>
    </w:p>
    <w:p w14:paraId="0000002D" w14:textId="77777777" w:rsidR="00CC62F7" w:rsidRDefault="00000000">
      <w:pPr>
        <w:pBdr>
          <w:top w:val="nil"/>
          <w:left w:val="nil"/>
          <w:bottom w:val="nil"/>
          <w:right w:val="nil"/>
          <w:between w:val="nil"/>
        </w:pBdr>
        <w:ind w:firstLine="720"/>
        <w:rPr>
          <w:color w:val="212121"/>
          <w:highlight w:val="white"/>
        </w:rPr>
      </w:pPr>
      <w:r>
        <w:rPr>
          <w:color w:val="212121"/>
          <w:highlight w:val="white"/>
        </w:rPr>
        <w:t xml:space="preserve"> between testosterone and amygdala–orbitofrontal cortex connectivity in adolescent </w:t>
      </w:r>
    </w:p>
    <w:p w14:paraId="0000002E" w14:textId="77777777" w:rsidR="00CC62F7" w:rsidRDefault="00000000">
      <w:pPr>
        <w:pBdr>
          <w:top w:val="nil"/>
          <w:left w:val="nil"/>
          <w:bottom w:val="nil"/>
          <w:right w:val="nil"/>
          <w:between w:val="nil"/>
        </w:pBdr>
        <w:ind w:firstLine="720"/>
      </w:pPr>
      <w:r>
        <w:rPr>
          <w:color w:val="212121"/>
          <w:highlight w:val="white"/>
        </w:rPr>
        <w:t xml:space="preserve">alcohol use. </w:t>
      </w:r>
      <w:r>
        <w:rPr>
          <w:i/>
          <w:iCs/>
          <w:color w:val="212121"/>
          <w:highlight w:val="white"/>
        </w:rPr>
        <w:t>Psychoneuroendocrinology</w:t>
      </w:r>
      <w:r>
        <w:rPr>
          <w:color w:val="212121"/>
          <w:highlight w:val="white"/>
        </w:rPr>
        <w:t xml:space="preserve">, </w:t>
      </w:r>
      <w:r>
        <w:rPr>
          <w:i/>
          <w:iCs/>
          <w:color w:val="212121"/>
          <w:highlight w:val="white"/>
        </w:rPr>
        <w:t>53</w:t>
      </w:r>
      <w:r>
        <w:rPr>
          <w:color w:val="212121"/>
          <w:highlight w:val="white"/>
        </w:rPr>
        <w:t xml:space="preserve">, 117–126. https://doi.org/10.1016 </w:t>
      </w:r>
    </w:p>
    <w:p w14:paraId="0000002F" w14:textId="77777777" w:rsidR="00CC62F7" w:rsidRDefault="00000000">
      <w:pPr>
        <w:pBdr>
          <w:top w:val="nil"/>
          <w:left w:val="nil"/>
          <w:bottom w:val="nil"/>
          <w:right w:val="nil"/>
          <w:between w:val="nil"/>
        </w:pBdr>
        <w:ind w:firstLine="720"/>
        <w:rPr>
          <w:color w:val="212121"/>
          <w:highlight w:val="white"/>
        </w:rPr>
      </w:pPr>
      <w:r>
        <w:rPr>
          <w:highlight w:val="white"/>
        </w:rPr>
        <w:t>/j.psyneuen.2015.01.004</w:t>
      </w:r>
      <w:r>
        <w:rPr>
          <w:color w:val="212121"/>
          <w:highlight w:val="white"/>
        </w:rPr>
        <w:t xml:space="preserve">. </w:t>
      </w:r>
    </w:p>
    <w:p w14:paraId="00000030" w14:textId="77777777" w:rsidR="00CC62F7" w:rsidRDefault="00000000">
      <w:pPr>
        <w:pBdr>
          <w:top w:val="nil"/>
          <w:left w:val="nil"/>
          <w:bottom w:val="nil"/>
          <w:right w:val="nil"/>
          <w:between w:val="nil"/>
        </w:pBdr>
        <w:rPr>
          <w:color w:val="212121"/>
          <w:highlight w:val="white"/>
        </w:rPr>
      </w:pPr>
      <w:r>
        <w:rPr>
          <w:color w:val="212121"/>
          <w:highlight w:val="white"/>
        </w:rPr>
        <w:t xml:space="preserve">Schreuders, E., Braams, B. R., Blankenstein, N. E., Peper, J. S., Güroğlu, B., &amp; Crone, E. A. </w:t>
      </w:r>
    </w:p>
    <w:p w14:paraId="00000031" w14:textId="77777777" w:rsidR="00CC62F7" w:rsidRDefault="00000000">
      <w:pPr>
        <w:pBdr>
          <w:top w:val="nil"/>
          <w:left w:val="nil"/>
          <w:bottom w:val="nil"/>
          <w:right w:val="nil"/>
          <w:between w:val="nil"/>
        </w:pBdr>
        <w:ind w:firstLine="720"/>
        <w:rPr>
          <w:color w:val="212121"/>
          <w:highlight w:val="white"/>
        </w:rPr>
      </w:pPr>
      <w:r>
        <w:rPr>
          <w:color w:val="212121"/>
          <w:highlight w:val="white"/>
        </w:rPr>
        <w:t xml:space="preserve">(2018). Contributions of Reward Sensitivity to Ventral Striatum Activity Across </w:t>
      </w:r>
    </w:p>
    <w:p w14:paraId="00000032" w14:textId="77777777" w:rsidR="00CC62F7" w:rsidRDefault="00000000">
      <w:pPr>
        <w:pBdr>
          <w:top w:val="nil"/>
          <w:left w:val="nil"/>
          <w:bottom w:val="nil"/>
          <w:right w:val="nil"/>
          <w:between w:val="nil"/>
        </w:pBdr>
        <w:ind w:firstLine="720"/>
        <w:rPr>
          <w:color w:val="212121"/>
          <w:highlight w:val="white"/>
        </w:rPr>
      </w:pPr>
      <w:r>
        <w:rPr>
          <w:color w:val="212121"/>
          <w:highlight w:val="white"/>
        </w:rPr>
        <w:t xml:space="preserve">Adolescence and Early Adulthood. </w:t>
      </w:r>
      <w:r>
        <w:rPr>
          <w:i/>
          <w:iCs/>
          <w:color w:val="212121"/>
          <w:highlight w:val="white"/>
        </w:rPr>
        <w:t>Child development</w:t>
      </w:r>
      <w:r>
        <w:rPr>
          <w:color w:val="212121"/>
          <w:highlight w:val="white"/>
        </w:rPr>
        <w:t xml:space="preserve">, </w:t>
      </w:r>
      <w:r>
        <w:rPr>
          <w:i/>
          <w:iCs/>
          <w:color w:val="212121"/>
          <w:highlight w:val="white"/>
        </w:rPr>
        <w:t>89</w:t>
      </w:r>
      <w:r>
        <w:rPr>
          <w:color w:val="212121"/>
          <w:highlight w:val="white"/>
        </w:rPr>
        <w:t xml:space="preserve">(3), 797–810. </w:t>
      </w:r>
    </w:p>
    <w:p w14:paraId="00000033" w14:textId="77777777" w:rsidR="00CC62F7" w:rsidRDefault="00000000">
      <w:pPr>
        <w:pBdr>
          <w:top w:val="nil"/>
          <w:left w:val="nil"/>
          <w:bottom w:val="nil"/>
          <w:right w:val="nil"/>
          <w:between w:val="nil"/>
        </w:pBdr>
        <w:ind w:firstLine="720"/>
        <w:rPr>
          <w:color w:val="212121"/>
          <w:highlight w:val="white"/>
        </w:rPr>
      </w:pPr>
      <w:r>
        <w:rPr>
          <w:color w:val="212121"/>
          <w:highlight w:val="white"/>
        </w:rPr>
        <w:t>https://doi.org/10.1111/cde</w:t>
      </w:r>
      <w:r>
        <w:rPr>
          <w:highlight w:val="white"/>
        </w:rPr>
        <w:t>v.13056</w:t>
      </w:r>
      <w:r>
        <w:rPr>
          <w:color w:val="212121"/>
          <w:highlight w:val="white"/>
        </w:rPr>
        <w:t xml:space="preserve">. </w:t>
      </w:r>
    </w:p>
    <w:p w14:paraId="00000034" w14:textId="77777777" w:rsidR="00CC62F7" w:rsidRDefault="00000000">
      <w:pPr>
        <w:rPr>
          <w:color w:val="212121"/>
          <w:highlight w:val="white"/>
        </w:rPr>
      </w:pPr>
      <w:r>
        <w:rPr>
          <w:color w:val="212121"/>
          <w:highlight w:val="white"/>
        </w:rPr>
        <w:t xml:space="preserve">Silverman, M. H., Jedd, K., &amp; Luciana, M. (2015). Neural networks involved in adolescent </w:t>
      </w:r>
    </w:p>
    <w:p w14:paraId="00000035" w14:textId="77777777" w:rsidR="00CC62F7" w:rsidRDefault="00000000">
      <w:pPr>
        <w:ind w:firstLine="720"/>
        <w:rPr>
          <w:color w:val="212121"/>
          <w:highlight w:val="white"/>
        </w:rPr>
      </w:pPr>
      <w:r>
        <w:rPr>
          <w:color w:val="212121"/>
          <w:highlight w:val="white"/>
        </w:rPr>
        <w:t>reward processing: An activation likelihood estimation meta-analysis of functional</w:t>
      </w:r>
    </w:p>
    <w:p w14:paraId="00000036" w14:textId="77777777" w:rsidR="00CC62F7" w:rsidRDefault="00000000">
      <w:pPr>
        <w:ind w:firstLine="720"/>
      </w:pPr>
      <w:r>
        <w:rPr>
          <w:color w:val="212121"/>
          <w:highlight w:val="white"/>
        </w:rPr>
        <w:t xml:space="preserve"> neuroimaging studies. </w:t>
      </w:r>
      <w:r>
        <w:rPr>
          <w:i/>
          <w:iCs/>
          <w:color w:val="212121"/>
          <w:highlight w:val="white"/>
        </w:rPr>
        <w:t>NeuroImage</w:t>
      </w:r>
      <w:r>
        <w:rPr>
          <w:color w:val="212121"/>
          <w:highlight w:val="white"/>
        </w:rPr>
        <w:t xml:space="preserve">, </w:t>
      </w:r>
      <w:r>
        <w:rPr>
          <w:i/>
          <w:iCs/>
          <w:color w:val="212121"/>
          <w:highlight w:val="white"/>
        </w:rPr>
        <w:t>122</w:t>
      </w:r>
      <w:r>
        <w:rPr>
          <w:color w:val="212121"/>
          <w:highlight w:val="white"/>
        </w:rPr>
        <w:t xml:space="preserve">, 427–439. https://doi.org/10.1016/ </w:t>
      </w:r>
    </w:p>
    <w:p w14:paraId="00000037" w14:textId="77777777" w:rsidR="00CC62F7" w:rsidRDefault="00000000">
      <w:pPr>
        <w:ind w:firstLine="720"/>
        <w:rPr>
          <w:color w:val="212121"/>
          <w:highlight w:val="white"/>
        </w:rPr>
      </w:pPr>
      <w:r>
        <w:rPr>
          <w:highlight w:val="white"/>
        </w:rPr>
        <w:lastRenderedPageBreak/>
        <w:t>j.neuroimage.2015.07.083</w:t>
      </w:r>
      <w:r>
        <w:rPr>
          <w:color w:val="212121"/>
          <w:highlight w:val="white"/>
        </w:rPr>
        <w:t>.</w:t>
      </w:r>
    </w:p>
    <w:p w14:paraId="00000038" w14:textId="77777777" w:rsidR="00CC62F7" w:rsidRDefault="00000000">
      <w:pPr>
        <w:pBdr>
          <w:top w:val="nil"/>
          <w:left w:val="nil"/>
          <w:bottom w:val="nil"/>
          <w:right w:val="nil"/>
          <w:between w:val="nil"/>
        </w:pBdr>
        <w:rPr>
          <w:color w:val="212121"/>
          <w:highlight w:val="white"/>
        </w:rPr>
      </w:pPr>
      <w:r>
        <w:rPr>
          <w:color w:val="212121"/>
          <w:highlight w:val="white"/>
        </w:rPr>
        <w:t>Telzer, E. H., Ichien, N. T., &amp; Qu, Y. (2015). Mothers know best: redirecting adolescent reward</w:t>
      </w:r>
    </w:p>
    <w:p w14:paraId="00000039" w14:textId="77777777" w:rsidR="00CC62F7" w:rsidRDefault="00000000">
      <w:pPr>
        <w:pBdr>
          <w:top w:val="nil"/>
          <w:left w:val="nil"/>
          <w:bottom w:val="nil"/>
          <w:right w:val="nil"/>
          <w:between w:val="nil"/>
        </w:pBdr>
        <w:ind w:firstLine="720"/>
        <w:rPr>
          <w:i/>
          <w:iCs/>
          <w:color w:val="212121"/>
          <w:highlight w:val="white"/>
        </w:rPr>
      </w:pPr>
      <w:r>
        <w:rPr>
          <w:color w:val="212121"/>
          <w:highlight w:val="white"/>
        </w:rPr>
        <w:t xml:space="preserve"> sensitivity toward safe behavior during risk taking. </w:t>
      </w:r>
      <w:r>
        <w:rPr>
          <w:i/>
          <w:iCs/>
          <w:color w:val="212121"/>
          <w:highlight w:val="white"/>
        </w:rPr>
        <w:t xml:space="preserve">Social cognitive and affective </w:t>
      </w:r>
    </w:p>
    <w:p w14:paraId="0000003A" w14:textId="77777777" w:rsidR="00CC62F7" w:rsidRDefault="00000000">
      <w:pPr>
        <w:pBdr>
          <w:top w:val="nil"/>
          <w:left w:val="nil"/>
          <w:bottom w:val="nil"/>
          <w:right w:val="nil"/>
          <w:between w:val="nil"/>
        </w:pBdr>
        <w:ind w:firstLine="720"/>
        <w:rPr>
          <w:color w:val="212121"/>
          <w:highlight w:val="white"/>
        </w:rPr>
      </w:pPr>
      <w:r>
        <w:rPr>
          <w:i/>
          <w:iCs/>
          <w:color w:val="212121"/>
          <w:highlight w:val="white"/>
        </w:rPr>
        <w:t>neuroscience</w:t>
      </w:r>
      <w:r>
        <w:rPr>
          <w:color w:val="212121"/>
          <w:highlight w:val="white"/>
        </w:rPr>
        <w:t xml:space="preserve">, </w:t>
      </w:r>
      <w:r>
        <w:rPr>
          <w:i/>
          <w:iCs/>
          <w:color w:val="212121"/>
          <w:highlight w:val="white"/>
        </w:rPr>
        <w:t>10</w:t>
      </w:r>
      <w:r>
        <w:rPr>
          <w:color w:val="212121"/>
          <w:highlight w:val="white"/>
        </w:rPr>
        <w:t xml:space="preserve">(10), 1383–1391. https://doi.org/10.1093/scan/nsv026. </w:t>
      </w:r>
    </w:p>
    <w:p w14:paraId="0000003B" w14:textId="77777777" w:rsidR="00CC62F7" w:rsidRDefault="00000000">
      <w:pPr>
        <w:pBdr>
          <w:top w:val="nil"/>
          <w:left w:val="nil"/>
          <w:bottom w:val="nil"/>
          <w:right w:val="nil"/>
          <w:between w:val="nil"/>
        </w:pBdr>
        <w:rPr>
          <w:color w:val="212121"/>
          <w:highlight w:val="white"/>
        </w:rPr>
      </w:pPr>
      <w:r>
        <w:rPr>
          <w:color w:val="212121"/>
          <w:highlight w:val="white"/>
        </w:rPr>
        <w:t xml:space="preserve">Van Duijvenvoorde, A. C. K., Peters, S., Braams, B. R., &amp; Crone, E. A. (2016). What motivates </w:t>
      </w:r>
    </w:p>
    <w:p w14:paraId="0000003C" w14:textId="77777777" w:rsidR="00CC62F7" w:rsidRDefault="00000000">
      <w:pPr>
        <w:pBdr>
          <w:top w:val="nil"/>
          <w:left w:val="nil"/>
          <w:bottom w:val="nil"/>
          <w:right w:val="nil"/>
          <w:between w:val="nil"/>
        </w:pBdr>
        <w:ind w:firstLine="720"/>
        <w:rPr>
          <w:color w:val="212121"/>
          <w:highlight w:val="white"/>
        </w:rPr>
      </w:pPr>
      <w:r>
        <w:rPr>
          <w:color w:val="212121"/>
          <w:highlight w:val="white"/>
        </w:rPr>
        <w:t xml:space="preserve">adolescents? Neural responses to rewards and their influence on adolescents’ risk taking, </w:t>
      </w:r>
    </w:p>
    <w:p w14:paraId="0000003D" w14:textId="77777777" w:rsidR="00CC62F7" w:rsidRDefault="00000000">
      <w:pPr>
        <w:pBdr>
          <w:top w:val="nil"/>
          <w:left w:val="nil"/>
          <w:bottom w:val="nil"/>
          <w:right w:val="nil"/>
          <w:between w:val="nil"/>
        </w:pBdr>
        <w:ind w:firstLine="720"/>
        <w:rPr>
          <w:color w:val="212121"/>
          <w:highlight w:val="white"/>
        </w:rPr>
      </w:pPr>
      <w:r>
        <w:rPr>
          <w:color w:val="212121"/>
          <w:highlight w:val="white"/>
        </w:rPr>
        <w:t xml:space="preserve">learning, and Cognitive Control. </w:t>
      </w:r>
      <w:r>
        <w:rPr>
          <w:i/>
          <w:iCs/>
          <w:color w:val="212121"/>
          <w:highlight w:val="white"/>
        </w:rPr>
        <w:t>Neuroscience &amp; Biobehavioral Reviews</w:t>
      </w:r>
      <w:r>
        <w:rPr>
          <w:color w:val="212121"/>
          <w:highlight w:val="white"/>
        </w:rPr>
        <w:t xml:space="preserve">, </w:t>
      </w:r>
      <w:r>
        <w:rPr>
          <w:i/>
          <w:iCs/>
          <w:color w:val="212121"/>
          <w:highlight w:val="white"/>
        </w:rPr>
        <w:t>70</w:t>
      </w:r>
      <w:r>
        <w:rPr>
          <w:color w:val="212121"/>
          <w:highlight w:val="white"/>
        </w:rPr>
        <w:t xml:space="preserve">, 135–147. </w:t>
      </w:r>
    </w:p>
    <w:p w14:paraId="0000003E" w14:textId="77777777" w:rsidR="00CC62F7" w:rsidRDefault="00000000">
      <w:pPr>
        <w:pBdr>
          <w:top w:val="nil"/>
          <w:left w:val="nil"/>
          <w:bottom w:val="nil"/>
          <w:right w:val="nil"/>
          <w:between w:val="nil"/>
        </w:pBdr>
        <w:ind w:firstLine="720"/>
        <w:rPr>
          <w:color w:val="212121"/>
          <w:highlight w:val="white"/>
        </w:rPr>
      </w:pPr>
      <w:r>
        <w:rPr>
          <w:color w:val="212121"/>
          <w:highlight w:val="white"/>
        </w:rPr>
        <w:t xml:space="preserve">https://doi.org/10.1016/j.neubiorev.2016.06.037. </w:t>
      </w:r>
    </w:p>
    <w:p w14:paraId="0000003F" w14:textId="77777777" w:rsidR="00CC62F7" w:rsidRDefault="00CC62F7">
      <w:pPr>
        <w:spacing w:before="240" w:after="240"/>
        <w:rPr>
          <w:color w:val="212121"/>
          <w:highlight w:val="white"/>
        </w:rPr>
      </w:pPr>
    </w:p>
    <w:p w14:paraId="00000040" w14:textId="77777777" w:rsidR="00CC62F7" w:rsidRDefault="00CC62F7">
      <w:pPr>
        <w:pBdr>
          <w:top w:val="nil"/>
          <w:left w:val="nil"/>
          <w:bottom w:val="nil"/>
          <w:right w:val="nil"/>
          <w:between w:val="nil"/>
        </w:pBdr>
        <w:rPr>
          <w:color w:val="212121"/>
          <w:highlight w:val="white"/>
        </w:rPr>
      </w:pPr>
    </w:p>
    <w:sectPr w:rsidR="00CC62F7">
      <w:headerReference w:type="default" r:id="rId6"/>
      <w:headerReference w:type="firs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570F5" w14:textId="77777777" w:rsidR="001A1080" w:rsidRDefault="001A1080">
      <w:pPr>
        <w:spacing w:line="240" w:lineRule="auto"/>
      </w:pPr>
      <w:r>
        <w:separator/>
      </w:r>
    </w:p>
  </w:endnote>
  <w:endnote w:type="continuationSeparator" w:id="0">
    <w:p w14:paraId="70AAAF6B" w14:textId="77777777" w:rsidR="001A1080" w:rsidRDefault="001A10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41597A1-872D-F542-AE9F-0665EA91B766}"/>
    <w:embedBold r:id="rId2" w:fontKey="{76DEB5DC-0DBF-9C4C-A77C-0984F8FE289D}"/>
    <w:embedItalic r:id="rId3" w:fontKey="{6E8FBF92-AB69-CC43-A8F6-FB34C427BF45}"/>
    <w:embedBoldItalic r:id="rId4" w:fontKey="{BB47D756-842D-4B49-BD84-922A889F5E60}"/>
  </w:font>
  <w:font w:name="Trebuchet MS">
    <w:panose1 w:val="020B0603020202020204"/>
    <w:charset w:val="00"/>
    <w:family w:val="auto"/>
    <w:pitch w:val="default"/>
    <w:embedItalic r:id="rId5" w:fontKey="{987DDF21-E310-E34E-8F29-00F1C7BB51D3}"/>
  </w:font>
  <w:font w:name="Calibri">
    <w:panose1 w:val="020F0502020204030204"/>
    <w:charset w:val="00"/>
    <w:family w:val="swiss"/>
    <w:pitch w:val="variable"/>
    <w:sig w:usb0="E4002EFF" w:usb1="C000247B" w:usb2="00000009" w:usb3="00000000" w:csb0="000001FF" w:csb1="00000000"/>
    <w:embedRegular r:id="rId6" w:fontKey="{C91BF155-02F7-8D4D-B97E-6CCE9E1E7134}"/>
  </w:font>
  <w:font w:name="Cambria">
    <w:panose1 w:val="02040503050406030204"/>
    <w:charset w:val="00"/>
    <w:family w:val="roman"/>
    <w:pitch w:val="variable"/>
    <w:sig w:usb0="E00002FF" w:usb1="400004FF" w:usb2="00000000" w:usb3="00000000" w:csb0="0000019F" w:csb1="00000000"/>
    <w:embedRegular r:id="rId7" w:fontKey="{A50FEB86-CB47-234A-92B1-90E8C16146D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24717" w14:textId="77777777" w:rsidR="001A1080" w:rsidRDefault="001A1080">
      <w:pPr>
        <w:spacing w:line="240" w:lineRule="auto"/>
      </w:pPr>
      <w:r>
        <w:separator/>
      </w:r>
    </w:p>
  </w:footnote>
  <w:footnote w:type="continuationSeparator" w:id="0">
    <w:p w14:paraId="5C7A9E5D" w14:textId="77777777" w:rsidR="001A1080" w:rsidRDefault="001A108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2" w14:textId="755483C4" w:rsidR="00CC62F7" w:rsidRDefault="00000000">
    <w:pPr>
      <w:pBdr>
        <w:top w:val="nil"/>
        <w:left w:val="nil"/>
        <w:bottom w:val="nil"/>
        <w:right w:val="nil"/>
        <w:between w:val="nil"/>
      </w:pBdr>
      <w:tabs>
        <w:tab w:val="right" w:pos="9360"/>
      </w:tabs>
    </w:pPr>
    <w:r>
      <w:t>REWARD SENSITIVITY AND BEHAVIOR CONTROL</w:t>
    </w:r>
    <w:r>
      <w:tab/>
    </w:r>
    <w:r>
      <w:fldChar w:fldCharType="begin"/>
    </w:r>
    <w:r>
      <w:instrText>PAGE</w:instrText>
    </w:r>
    <w:r>
      <w:fldChar w:fldCharType="separate"/>
    </w:r>
    <w:r w:rsidR="00027294">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41" w14:textId="77777777" w:rsidR="00CC62F7" w:rsidRDefault="00000000">
    <w:pPr>
      <w:pBdr>
        <w:top w:val="nil"/>
        <w:left w:val="nil"/>
        <w:bottom w:val="nil"/>
        <w:right w:val="nil"/>
        <w:between w:val="nil"/>
      </w:pBdr>
      <w:spacing w:before="960"/>
    </w:pPr>
    <w:r>
      <w:t>Running head: TITLE OF YOUR PAPER</w:t>
    </w:r>
    <w:r>
      <w:tab/>
    </w:r>
    <w:r>
      <w:tab/>
    </w:r>
    <w:r>
      <w:tab/>
    </w:r>
    <w:r>
      <w:tab/>
    </w:r>
    <w:r>
      <w:tab/>
    </w:r>
    <w:r>
      <w:tab/>
    </w:r>
    <w:r>
      <w:tab/>
    </w:r>
    <w:r>
      <w:fldChar w:fldCharType="begin"/>
    </w:r>
    <w:r>
      <w:instrText>PAGE</w:instrText>
    </w:r>
    <w:r>
      <w:fldChar w:fldCharType="separate"/>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2F7"/>
    <w:rsid w:val="00027294"/>
    <w:rsid w:val="001A1080"/>
    <w:rsid w:val="00CC62F7"/>
    <w:rsid w:val="00EB4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849C3F6C-8CA3-C44F-AAF0-76914C87B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b/>
      <w:bCs/>
    </w:rPr>
  </w:style>
  <w:style w:type="paragraph" w:styleId="Heading2">
    <w:name w:val="heading 2"/>
    <w:basedOn w:val="Normal"/>
    <w:next w:val="Normal"/>
    <w:uiPriority w:val="9"/>
    <w:semiHidden/>
    <w:unhideWhenUsed/>
    <w:qFormat/>
    <w:pPr>
      <w:keepNext/>
      <w:keepLines/>
      <w:outlineLvl w:val="1"/>
    </w:pPr>
    <w:rPr>
      <w:b/>
      <w:bCs/>
    </w:rPr>
  </w:style>
  <w:style w:type="paragraph" w:styleId="Heading3">
    <w:name w:val="heading 3"/>
    <w:basedOn w:val="Normal"/>
    <w:next w:val="Normal"/>
    <w:uiPriority w:val="9"/>
    <w:semiHidden/>
    <w:unhideWhenUsed/>
    <w:qFormat/>
    <w:pPr>
      <w:keepNext/>
      <w:keepLines/>
      <w:outlineLvl w:val="2"/>
    </w:pPr>
    <w:rPr>
      <w:b/>
      <w:bCs/>
      <w:i/>
      <w:iCs/>
    </w:rPr>
  </w:style>
  <w:style w:type="paragraph" w:styleId="Heading4">
    <w:name w:val="heading 4"/>
    <w:basedOn w:val="Normal"/>
    <w:next w:val="Normal"/>
    <w:uiPriority w:val="9"/>
    <w:semiHidden/>
    <w:unhideWhenUsed/>
    <w:qFormat/>
    <w:pPr>
      <w:keepNext/>
      <w:keepLines/>
      <w:ind w:firstLine="720"/>
      <w:outlineLvl w:val="3"/>
    </w:pPr>
    <w:rPr>
      <w:b/>
      <w:bCs/>
      <w:i/>
      <w:iCs/>
    </w:rPr>
  </w:style>
  <w:style w:type="paragraph" w:styleId="Heading5">
    <w:name w:val="heading 5"/>
    <w:basedOn w:val="Normal"/>
    <w:next w:val="Normal"/>
    <w:uiPriority w:val="9"/>
    <w:semiHidden/>
    <w:unhideWhenUsed/>
    <w:qFormat/>
    <w:pPr>
      <w:keepNext/>
      <w:keepLines/>
      <w:outlineLvl w:val="4"/>
    </w:pPr>
    <w:rPr>
      <w:i/>
      <w:iCs/>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2160"/>
      <w:jc w:val="center"/>
    </w:pPr>
    <w:rPr>
      <w:b/>
      <w:bCs/>
    </w:rPr>
  </w:style>
  <w:style w:type="paragraph" w:styleId="Subtitle">
    <w:name w:val="Subtitle"/>
    <w:basedOn w:val="Normal"/>
    <w:next w:val="Normal"/>
    <w:uiPriority w:val="11"/>
    <w:qFormat/>
    <w:pPr>
      <w:keepNext/>
      <w:keepLines/>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2342</Words>
  <Characters>13546</Characters>
  <Application>Microsoft Office Word</Application>
  <DocSecurity>0</DocSecurity>
  <Lines>198</Lines>
  <Paragraphs>56</Paragraphs>
  <ScaleCrop>false</ScaleCrop>
  <Company/>
  <LinksUpToDate>false</LinksUpToDate>
  <CharactersWithSpaces>15875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Melody Castaneda Flores</cp:lastModifiedBy>
  <cp:revision>2</cp:revision>
  <dcterms:created xsi:type="dcterms:W3CDTF">2026-03-27T19:48:00Z</dcterms:created>
  <dcterms:modified xsi:type="dcterms:W3CDTF">2026-03-27T19:48:00Z</dcterms:modified>
</cp:coreProperties>
</file>