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0038A8"/>
          <w:sz w:val="38"/>
          <w:szCs w:val="38"/>
        </w:rPr>
        <w:t xml:space="preserve">E-BALUGAO APP &amp; SMART MUNICIPALITY PLATFORM</w:t>
      </w:r>
    </w:p>
    <w:p>
      <w:pPr>
        <w:spacing w:after="360" w:before="0"/>
        <w:jc w:val="center"/>
      </w:pPr>
      <w:r>
        <w:rPr>
          <w:rFonts w:ascii="Arial" w:cs="Arial" w:eastAsia="Arial" w:hAnsi="Arial"/>
          <w:color w:val="64748B"/>
          <w:sz w:val="24"/>
          <w:szCs w:val="24"/>
        </w:rPr>
        <w:t xml:space="preserve">Comprehensive Executive Investment Proposal &amp; Technical Masterplan
for the Municipal Government of Balungao, Pangasinan
(Smart E-Governance, 20-Barangay Visibility &amp; AI-Powered Public Services)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038A8" w:sz="24"/>
              <w:bottom w:val="none"/>
              <w:right w:val="none"/>
            </w:tcBorders>
            <w:shd w:fill="F0F4FF" w:val="clear"/>
          </w:tcPr>
          <w:p>
            <w:pPr>
              <w:spacing w:after="40" w:before="80"/>
            </w:pPr>
            <w:r>
              <w:rPr>
                <w:rFonts w:ascii="Arial" w:cs="Arial" w:eastAsia="Arial" w:hAnsi="Arial"/>
                <w:b/>
                <w:bCs/>
                <w:color w:val="0038A8"/>
                <w:sz w:val="22"/>
                <w:szCs w:val="22"/>
              </w:rPr>
              <w:t xml:space="preserve">EXECUTIVE SUMMARY &amp; DOCUMENT INTENT</w:t>
            </w:r>
          </w:p>
          <w:p>
            <w:pPr>
              <w:spacing w:after="80" w:before="0" w:line="260"/>
            </w:pPr>
            <w:r>
              <w:rPr>
                <w:rFonts w:ascii="Arial" w:cs="Arial" w:eastAsia="Arial" w:hAnsi="Arial"/>
                <w:color w:val="334155"/>
                <w:sz w:val="20"/>
                <w:szCs w:val="20"/>
              </w:rPr>
              <w:t xml:space="preserve">This document represents the official and comprehensive 15-Section Executive Investment Proposal for the E-Balungao App &amp; Smart Municipality Platform. It is engineered to elevate the Municipal Government of Balungao into a benchmark Digital LGU through a mobile-first architecture, a 20-Barangay Command Center, E-Commerce &amp; E-Ticketing for Mt. Balungao Tourism, and an Agentic AI Co-Pilot.</w:t>
            </w:r>
          </w:p>
        </w:tc>
      </w:tr>
    </w:tbl>
    <w:p>
      <w:pPr>
        <w:spacing w:after="120" w:before="240"/>
      </w:pPr>
    </w:p>
    <w:p>
      <w:pPr>
        <w:pStyle w:val="Heading1"/>
        <w:keepNext/>
        <w:spacing w:after="180" w:before="360"/>
      </w:pPr>
      <w:r>
        <w:rPr>
          <w:rFonts w:ascii="Arial" w:cs="Arial" w:eastAsia="Arial" w:hAnsi="Arial"/>
          <w:b/>
          <w:bCs/>
          <w:color w:val="0038A8"/>
          <w:sz w:val="28"/>
          <w:szCs w:val="28"/>
        </w:rPr>
        <w:t xml:space="preserve">1. Executive Investment Summary</w:t>
      </w:r>
    </w:p>
    <w:p>
      <w:pPr>
        <w:spacing w:after="120" w:before="60" w:line="276"/>
      </w:pPr>
      <w:r>
        <w:rPr>
          <w:rFonts w:ascii="Arial" w:cs="Arial" w:eastAsia="Arial" w:hAnsi="Arial"/>
          <w:b w:val="false"/>
          <w:bCs w:val="false"/>
          <w:color w:val="334155"/>
          <w:sz w:val="21"/>
          <w:szCs w:val="21"/>
        </w:rPr>
        <w:t xml:space="preserve">The Municipal Government of Balungao, Pangasinan holds extraordinary potential across agriculture, eco-tourism (Mt. Balungao Hot &amp; Cold Springs Resort and Balungao Hilltop Adventure), and local commerce. To catalyze municipal growth and achieve 100% compliance with the Ease of Doing Business and Efficient Government Service Delivery Act (RA 11032), an App-First Smart Municipality Platform is essential.</w:t>
      </w:r>
    </w:p>
    <w:p>
      <w:pPr>
        <w:spacing w:after="120" w:before="60" w:line="276"/>
      </w:pPr>
      <w:r>
        <w:rPr>
          <w:rFonts w:ascii="Arial" w:cs="Arial" w:eastAsia="Arial" w:hAnsi="Arial"/>
          <w:b w:val="false"/>
          <w:bCs w:val="false"/>
          <w:color w:val="334155"/>
          <w:sz w:val="21"/>
          <w:szCs w:val="21"/>
        </w:rPr>
        <w:t xml:space="preserve">The E-Balungao Platform serves as the central digital operating ecosystem for the municipality. It is not merely a static website; it is an end-to-end multi-channel application connecting all 20 Barangays, Municipal Departments (BPLO, Treasury, Assessor, LCR, RHU, MSWDO, Engineering, Tourism), and citizens via Android/iOS Mobile Apps, Responsive Web Portals, and Interactive Kiosks.</w:t>
      </w:r>
    </w:p>
    <w:p>
      <w:pPr>
        <w:pStyle w:val="ListParagraph"/>
        <w:numPr>
          <w:ilvl w:val="0"/>
          <w:numId w:val="1"/>
        </w:numPr>
        <w:spacing w:after="60" w:before="40" w:line="260"/>
      </w:pPr>
      <w:r>
        <w:rPr>
          <w:rFonts w:ascii="Arial" w:cs="Arial" w:eastAsia="Arial" w:hAnsi="Arial"/>
          <w:b/>
          <w:bCs/>
          <w:color w:val="1E293B"/>
          <w:sz w:val="21"/>
          <w:szCs w:val="21"/>
        </w:rPr>
        <w:t xml:space="preserve">Strategic Objective: </w:t>
      </w:r>
      <w:r>
        <w:rPr>
          <w:rFonts w:ascii="Arial" w:cs="Arial" w:eastAsia="Arial" w:hAnsi="Arial"/>
          <w:color w:val="334155"/>
          <w:sz w:val="21"/>
          <w:szCs w:val="21"/>
        </w:rPr>
        <w:t xml:space="preserve">Establish a 24/7 digital counter for all municipal permits, taxes, health services, and emergency responses with zero queues and eliminated red tape.</w:t>
      </w:r>
    </w:p>
    <w:p>
      <w:pPr>
        <w:pStyle w:val="ListParagraph"/>
        <w:numPr>
          <w:ilvl w:val="0"/>
          <w:numId w:val="1"/>
        </w:numPr>
        <w:spacing w:after="60" w:before="40" w:line="260"/>
      </w:pPr>
      <w:r>
        <w:rPr>
          <w:rFonts w:ascii="Arial" w:cs="Arial" w:eastAsia="Arial" w:hAnsi="Arial"/>
          <w:b/>
          <w:bCs/>
          <w:color w:val="1E293B"/>
          <w:sz w:val="21"/>
          <w:szCs w:val="21"/>
        </w:rPr>
        <w:t xml:space="preserve">Target Impact: </w:t>
      </w:r>
      <w:r>
        <w:rPr>
          <w:rFonts w:ascii="Arial" w:cs="Arial" w:eastAsia="Arial" w:hAnsi="Arial"/>
          <w:color w:val="334155"/>
          <w:sz w:val="21"/>
          <w:szCs w:val="21"/>
        </w:rPr>
        <w:t xml:space="preserve">40%+ increase in local revenue collection efficiency, 80% reduction in travel time for residents in remote barangays, and 100% real-time operational visibility for the Municipal Mayor and Council.</w:t>
      </w:r>
    </w:p>
    <w:p>
      <w:pPr>
        <w:pStyle w:val="Heading1"/>
        <w:keepNext/>
        <w:spacing w:after="180" w:before="360"/>
      </w:pPr>
      <w:r>
        <w:rPr>
          <w:rFonts w:ascii="Arial" w:cs="Arial" w:eastAsia="Arial" w:hAnsi="Arial"/>
          <w:b/>
          <w:bCs/>
          <w:color w:val="0038A8"/>
          <w:sz w:val="28"/>
          <w:szCs w:val="28"/>
        </w:rPr>
        <w:t xml:space="preserve">2. Premium UI/UX Direction for the e-Balungao App</w:t>
      </w:r>
    </w:p>
    <w:p>
      <w:pPr>
        <w:spacing w:after="120" w:before="60" w:line="276"/>
      </w:pPr>
      <w:r>
        <w:rPr>
          <w:rFonts w:ascii="Arial" w:cs="Arial" w:eastAsia="Arial" w:hAnsi="Arial"/>
          <w:b w:val="false"/>
          <w:bCs w:val="false"/>
          <w:color w:val="334155"/>
          <w:sz w:val="21"/>
          <w:szCs w:val="21"/>
        </w:rPr>
        <w:t xml:space="preserve">The e-Balungao App is built upon modern Human-Centered Design (HCD) principles, guaranteeing seamless usability across all user demographics—from tech-savvy youth and business owners to farmers, Senior Citizens, and PWDs.</w:t>
      </w:r>
    </w:p>
    <w:p>
      <w:pPr>
        <w:pStyle w:val="ListParagraph"/>
        <w:numPr>
          <w:ilvl w:val="0"/>
          <w:numId w:val="1"/>
        </w:numPr>
        <w:spacing w:after="60" w:before="40" w:line="260"/>
      </w:pPr>
      <w:r>
        <w:rPr>
          <w:rFonts w:ascii="Arial" w:cs="Arial" w:eastAsia="Arial" w:hAnsi="Arial"/>
          <w:b/>
          <w:bCs/>
          <w:color w:val="1E293B"/>
          <w:sz w:val="21"/>
          <w:szCs w:val="21"/>
        </w:rPr>
        <w:t xml:space="preserve">Visual Design System: </w:t>
      </w:r>
      <w:r>
        <w:rPr>
          <w:rFonts w:ascii="Arial" w:cs="Arial" w:eastAsia="Arial" w:hAnsi="Arial"/>
          <w:color w:val="334155"/>
          <w:sz w:val="21"/>
          <w:szCs w:val="21"/>
        </w:rPr>
        <w:t xml:space="preserve">Sleek Royal Blue (#0038A8) and Slate theme with glassmorphism subtle accents, elevated surface cards, and crisp, standardized icons.</w:t>
      </w:r>
    </w:p>
    <w:p>
      <w:pPr>
        <w:pStyle w:val="ListParagraph"/>
        <w:numPr>
          <w:ilvl w:val="0"/>
          <w:numId w:val="1"/>
        </w:numPr>
        <w:spacing w:after="60" w:before="40" w:line="260"/>
      </w:pPr>
      <w:r>
        <w:rPr>
          <w:rFonts w:ascii="Arial" w:cs="Arial" w:eastAsia="Arial" w:hAnsi="Arial"/>
          <w:b/>
          <w:bCs/>
          <w:color w:val="1E293B"/>
          <w:sz w:val="21"/>
          <w:szCs w:val="21"/>
        </w:rPr>
        <w:t xml:space="preserve">Mobile-First &amp; Offline Resilience: </w:t>
      </w:r>
      <w:r>
        <w:rPr>
          <w:rFonts w:ascii="Arial" w:cs="Arial" w:eastAsia="Arial" w:hAnsi="Arial"/>
          <w:color w:val="334155"/>
          <w:sz w:val="21"/>
          <w:szCs w:val="21"/>
        </w:rPr>
        <w:t xml:space="preserve">Optimized for lightweight data consumption on 3G/4G networks with client-side offline form caching for low-connectivity rural barangays.</w:t>
      </w:r>
    </w:p>
    <w:p>
      <w:pPr>
        <w:pStyle w:val="ListParagraph"/>
        <w:numPr>
          <w:ilvl w:val="0"/>
          <w:numId w:val="1"/>
        </w:numPr>
        <w:spacing w:after="60" w:before="40" w:line="260"/>
      </w:pPr>
      <w:r>
        <w:rPr>
          <w:rFonts w:ascii="Arial" w:cs="Arial" w:eastAsia="Arial" w:hAnsi="Arial"/>
          <w:b/>
          <w:bCs/>
          <w:color w:val="1E293B"/>
          <w:sz w:val="21"/>
          <w:szCs w:val="21"/>
        </w:rPr>
        <w:t xml:space="preserve">Accessibility &amp; Multilingual Support: </w:t>
      </w:r>
      <w:r>
        <w:rPr>
          <w:rFonts w:ascii="Arial" w:cs="Arial" w:eastAsia="Arial" w:hAnsi="Arial"/>
          <w:color w:val="334155"/>
          <w:sz w:val="21"/>
          <w:szCs w:val="21"/>
        </w:rPr>
        <w:t xml:space="preserve">Native support for Tagalog, Ilocano, and English interfaces with high-contrast modes and voice-assisted navigation for Senior Citizens.</w:t>
      </w:r>
    </w:p>
    <w:p>
      <w:pPr>
        <w:pStyle w:val="ListParagraph"/>
        <w:numPr>
          <w:ilvl w:val="0"/>
          <w:numId w:val="1"/>
        </w:numPr>
        <w:spacing w:after="60" w:before="40" w:line="260"/>
      </w:pPr>
      <w:r>
        <w:rPr>
          <w:rFonts w:ascii="Arial" w:cs="Arial" w:eastAsia="Arial" w:hAnsi="Arial"/>
          <w:b/>
          <w:bCs/>
          <w:color w:val="1E293B"/>
          <w:sz w:val="21"/>
          <w:szCs w:val="21"/>
        </w:rPr>
        <w:t xml:space="preserve">Unified Design Tokens: </w:t>
      </w:r>
      <w:r>
        <w:rPr>
          <w:rFonts w:ascii="Arial" w:cs="Arial" w:eastAsia="Arial" w:hAnsi="Arial"/>
          <w:color w:val="334155"/>
          <w:sz w:val="21"/>
          <w:szCs w:val="21"/>
        </w:rPr>
        <w:t xml:space="preserve">Consistent typography (Inter / Arial), standard component spacing, smooth tactile micro-animations, and an intuitive bottom navigation bar.</w:t>
      </w:r>
    </w:p>
    <w:p>
      <w:pPr>
        <w:pStyle w:val="Heading1"/>
        <w:keepNext/>
        <w:spacing w:after="180" w:before="360"/>
      </w:pPr>
      <w:r>
        <w:rPr>
          <w:rFonts w:ascii="Arial" w:cs="Arial" w:eastAsia="Arial" w:hAnsi="Arial"/>
          <w:b/>
          <w:bCs/>
          <w:color w:val="0038A8"/>
          <w:sz w:val="28"/>
          <w:szCs w:val="28"/>
        </w:rPr>
        <w:t xml:space="preserve">3. Why Balungao Needs an App-First Smart Municipality Platform</w:t>
      </w:r>
    </w:p>
    <w:p>
      <w:pPr>
        <w:spacing w:after="120" w:before="60" w:line="276"/>
      </w:pPr>
      <w:r>
        <w:rPr>
          <w:rFonts w:ascii="Arial" w:cs="Arial" w:eastAsia="Arial" w:hAnsi="Arial"/>
          <w:b w:val="false"/>
          <w:bCs w:val="false"/>
          <w:color w:val="334155"/>
          <w:sz w:val="21"/>
          <w:szCs w:val="21"/>
        </w:rPr>
        <w:t xml:space="preserve">Balungao's 20 barangays (San Anton, Pugaro, San Fernando, Victory, Capabaroan, Esmeralda, Mabini, San Andres, San Felix, San Isidro, San Joaquin, San Julian, San Miguel, San Raymundo, San Vicente, Station District, Angayan, Rajal, San Bartolome, and Poblacion) face distinct geographical and transit challenges.</w:t>
      </w:r>
    </w:p>
    <w:p>
      <w:pPr>
        <w:pStyle w:val="ListParagraph"/>
        <w:numPr>
          <w:ilvl w:val="0"/>
          <w:numId w:val="1"/>
        </w:numPr>
        <w:spacing w:after="60" w:before="40" w:line="260"/>
      </w:pPr>
      <w:r>
        <w:rPr>
          <w:rFonts w:ascii="Arial" w:cs="Arial" w:eastAsia="Arial" w:hAnsi="Arial"/>
          <w:b/>
          <w:bCs/>
          <w:color w:val="1E293B"/>
          <w:sz w:val="21"/>
          <w:szCs w:val="21"/>
        </w:rPr>
        <w:t xml:space="preserve">Eliminating Commute Barriers: </w:t>
      </w:r>
      <w:r>
        <w:rPr>
          <w:rFonts w:ascii="Arial" w:cs="Arial" w:eastAsia="Arial" w:hAnsi="Arial"/>
          <w:color w:val="334155"/>
          <w:sz w:val="21"/>
          <w:szCs w:val="21"/>
        </w:rPr>
        <w:t xml:space="preserve">A resident in Barangay San Anton or Victory currently spends 30 to 45 minutes traveling to Poblacion for basic municipal forms or inquiries. With the e-Balungao App, transactions take under 2 minutes on a smartphone.</w:t>
      </w:r>
    </w:p>
    <w:p>
      <w:pPr>
        <w:pStyle w:val="ListParagraph"/>
        <w:numPr>
          <w:ilvl w:val="0"/>
          <w:numId w:val="1"/>
        </w:numPr>
        <w:spacing w:after="60" w:before="40" w:line="260"/>
      </w:pPr>
      <w:r>
        <w:rPr>
          <w:rFonts w:ascii="Arial" w:cs="Arial" w:eastAsia="Arial" w:hAnsi="Arial"/>
          <w:b/>
          <w:bCs/>
          <w:color w:val="1E293B"/>
          <w:sz w:val="21"/>
          <w:szCs w:val="21"/>
        </w:rPr>
        <w:t xml:space="preserve">Tourism &amp; Eco-Adventure E-Ticketing: </w:t>
      </w:r>
      <w:r>
        <w:rPr>
          <w:rFonts w:ascii="Arial" w:cs="Arial" w:eastAsia="Arial" w:hAnsi="Arial"/>
          <w:color w:val="334155"/>
          <w:sz w:val="21"/>
          <w:szCs w:val="21"/>
        </w:rPr>
        <w:t xml:space="preserve">Mt. Balungao Hot &amp; Cold Springs and Hilltop Adventure attract thousands of tourists. The platform introduces online resort bookings, zipline/ATV e-ticket reservations, and cashless QR payments.</w:t>
      </w:r>
    </w:p>
    <w:p>
      <w:pPr>
        <w:pStyle w:val="ListParagraph"/>
        <w:numPr>
          <w:ilvl w:val="0"/>
          <w:numId w:val="1"/>
        </w:numPr>
        <w:spacing w:after="60" w:before="40" w:line="260"/>
      </w:pPr>
      <w:r>
        <w:rPr>
          <w:rFonts w:ascii="Arial" w:cs="Arial" w:eastAsia="Arial" w:hAnsi="Arial"/>
          <w:b/>
          <w:bCs/>
          <w:color w:val="1E293B"/>
          <w:sz w:val="21"/>
          <w:szCs w:val="21"/>
        </w:rPr>
        <w:t xml:space="preserve">24/7 Service Desk: </w:t>
      </w:r>
      <w:r>
        <w:rPr>
          <w:rFonts w:ascii="Arial" w:cs="Arial" w:eastAsia="Arial" w:hAnsi="Arial"/>
          <w:color w:val="334155"/>
          <w:sz w:val="21"/>
          <w:szCs w:val="21"/>
        </w:rPr>
        <w:t xml:space="preserve">Citizens can submit applications, pay taxes, and track request status anytime without missing work or taking leave.</w:t>
      </w:r>
    </w:p>
    <w:p>
      <w:pPr>
        <w:pStyle w:val="Heading1"/>
        <w:keepNext/>
        <w:spacing w:after="180" w:before="360"/>
      </w:pPr>
      <w:r>
        <w:rPr>
          <w:rFonts w:ascii="Arial" w:cs="Arial" w:eastAsia="Arial" w:hAnsi="Arial"/>
          <w:b/>
          <w:bCs/>
          <w:color w:val="0038A8"/>
          <w:sz w:val="28"/>
          <w:szCs w:val="28"/>
        </w:rPr>
        <w:t xml:space="preserve">4. Research and Policy Basis</w:t>
      </w:r>
    </w:p>
    <w:p>
      <w:pPr>
        <w:spacing w:after="120" w:before="60" w:line="276"/>
      </w:pPr>
      <w:r>
        <w:rPr>
          <w:rFonts w:ascii="Arial" w:cs="Arial" w:eastAsia="Arial" w:hAnsi="Arial"/>
          <w:b w:val="false"/>
          <w:bCs w:val="false"/>
          <w:color w:val="334155"/>
          <w:sz w:val="21"/>
          <w:szCs w:val="21"/>
        </w:rPr>
        <w:t xml:space="preserve">The deployment of the E-Balungao Platform is directly grounded in national legislation, executive directives, and Philippine government standards:</w:t>
      </w:r>
    </w:p>
    <w:p>
      <w:pPr>
        <w:pStyle w:val="ListParagraph"/>
        <w:numPr>
          <w:ilvl w:val="0"/>
          <w:numId w:val="1"/>
        </w:numPr>
        <w:spacing w:after="60" w:before="40" w:line="260"/>
      </w:pPr>
      <w:r>
        <w:rPr>
          <w:rFonts w:ascii="Arial" w:cs="Arial" w:eastAsia="Arial" w:hAnsi="Arial"/>
          <w:b/>
          <w:bCs/>
          <w:color w:val="1E293B"/>
          <w:sz w:val="21"/>
          <w:szCs w:val="21"/>
        </w:rPr>
        <w:t xml:space="preserve">Republic Act 11032 (Ease of Doing Business Act of 2018): </w:t>
      </w:r>
      <w:r>
        <w:rPr>
          <w:rFonts w:ascii="Arial" w:cs="Arial" w:eastAsia="Arial" w:hAnsi="Arial"/>
          <w:color w:val="334155"/>
          <w:sz w:val="21"/>
          <w:szCs w:val="21"/>
        </w:rPr>
        <w:t xml:space="preserve">Mandates LGUs to streamline processing times (3-day limit for simple services) and implement an Electronic Business Permitting and Licensing System (eBPLS).</w:t>
      </w:r>
    </w:p>
    <w:p>
      <w:pPr>
        <w:pStyle w:val="ListParagraph"/>
        <w:numPr>
          <w:ilvl w:val="0"/>
          <w:numId w:val="1"/>
        </w:numPr>
        <w:spacing w:after="60" w:before="40" w:line="260"/>
      </w:pPr>
      <w:r>
        <w:rPr>
          <w:rFonts w:ascii="Arial" w:cs="Arial" w:eastAsia="Arial" w:hAnsi="Arial"/>
          <w:b/>
          <w:bCs/>
          <w:color w:val="1E293B"/>
          <w:sz w:val="21"/>
          <w:szCs w:val="21"/>
        </w:rPr>
        <w:t xml:space="preserve">Republic Act 10173 (Data Privacy Act of 2012): </w:t>
      </w:r>
      <w:r>
        <w:rPr>
          <w:rFonts w:ascii="Arial" w:cs="Arial" w:eastAsia="Arial" w:hAnsi="Arial"/>
          <w:color w:val="334155"/>
          <w:sz w:val="21"/>
          <w:szCs w:val="21"/>
        </w:rPr>
        <w:t xml:space="preserve">Requires strict privacy compliance, data protection, end-to-end encryption, and immutable audit logging for all constituent data.</w:t>
      </w:r>
    </w:p>
    <w:p>
      <w:pPr>
        <w:pStyle w:val="ListParagraph"/>
        <w:numPr>
          <w:ilvl w:val="0"/>
          <w:numId w:val="1"/>
        </w:numPr>
        <w:spacing w:after="60" w:before="40" w:line="260"/>
      </w:pPr>
      <w:r>
        <w:rPr>
          <w:rFonts w:ascii="Arial" w:cs="Arial" w:eastAsia="Arial" w:hAnsi="Arial"/>
          <w:b/>
          <w:bCs/>
          <w:color w:val="1E293B"/>
          <w:sz w:val="21"/>
          <w:szCs w:val="21"/>
        </w:rPr>
        <w:t xml:space="preserve">Executive Order No. 170, s. 2022: </w:t>
      </w:r>
      <w:r>
        <w:rPr>
          <w:rFonts w:ascii="Arial" w:cs="Arial" w:eastAsia="Arial" w:hAnsi="Arial"/>
          <w:color w:val="334155"/>
          <w:sz w:val="21"/>
          <w:szCs w:val="21"/>
        </w:rPr>
        <w:t xml:space="preserve">Directs all government agencies and LGUs to adopt digital payments for collections and disbursements.</w:t>
      </w:r>
    </w:p>
    <w:p>
      <w:pPr>
        <w:pStyle w:val="ListParagraph"/>
        <w:numPr>
          <w:ilvl w:val="0"/>
          <w:numId w:val="1"/>
        </w:numPr>
        <w:spacing w:after="60" w:before="40" w:line="260"/>
      </w:pPr>
      <w:r>
        <w:rPr>
          <w:rFonts w:ascii="Arial" w:cs="Arial" w:eastAsia="Arial" w:hAnsi="Arial"/>
          <w:b/>
          <w:bCs/>
          <w:color w:val="1E293B"/>
          <w:sz w:val="21"/>
          <w:szCs w:val="21"/>
        </w:rPr>
        <w:t xml:space="preserve">Republic Act 7160 (Local Government Code of 1991): </w:t>
      </w:r>
      <w:r>
        <w:rPr>
          <w:rFonts w:ascii="Arial" w:cs="Arial" w:eastAsia="Arial" w:hAnsi="Arial"/>
          <w:color w:val="334155"/>
          <w:sz w:val="21"/>
          <w:szCs w:val="21"/>
        </w:rPr>
        <w:t xml:space="preserve">Empowers LGUs to modernize revenue generation and local governance structures.</w:t>
      </w:r>
    </w:p>
    <w:p>
      <w:pPr>
        <w:pStyle w:val="ListParagraph"/>
        <w:numPr>
          <w:ilvl w:val="0"/>
          <w:numId w:val="1"/>
        </w:numPr>
        <w:spacing w:after="60" w:before="40" w:line="260"/>
      </w:pPr>
      <w:r>
        <w:rPr>
          <w:rFonts w:ascii="Arial" w:cs="Arial" w:eastAsia="Arial" w:hAnsi="Arial"/>
          <w:b/>
          <w:bCs/>
          <w:color w:val="1E293B"/>
          <w:sz w:val="21"/>
          <w:szCs w:val="21"/>
        </w:rPr>
        <w:t xml:space="preserve">DICT E-Governance Masterplan 2022-2028: </w:t>
      </w:r>
      <w:r>
        <w:rPr>
          <w:rFonts w:ascii="Arial" w:cs="Arial" w:eastAsia="Arial" w:hAnsi="Arial"/>
          <w:color w:val="334155"/>
          <w:sz w:val="21"/>
          <w:szCs w:val="21"/>
        </w:rPr>
        <w:t xml:space="preserve">Promotes interoperable digital services and citizen-centric e-government platforms.</w:t>
      </w:r>
    </w:p>
    <w:p>
      <w:pPr>
        <w:pStyle w:val="Heading1"/>
        <w:keepNext/>
        <w:spacing w:after="180" w:before="360"/>
      </w:pPr>
      <w:r>
        <w:rPr>
          <w:rFonts w:ascii="Arial" w:cs="Arial" w:eastAsia="Arial" w:hAnsi="Arial"/>
          <w:b/>
          <w:bCs/>
          <w:color w:val="0038A8"/>
          <w:sz w:val="28"/>
          <w:szCs w:val="28"/>
        </w:rPr>
        <w:t xml:space="preserve">5. Current Operational Gaps and System Response</w:t>
      </w:r>
    </w:p>
    <w:p>
      <w:pPr>
        <w:spacing w:after="120" w:before="60" w:line="276"/>
      </w:pPr>
      <w:r>
        <w:rPr>
          <w:rFonts w:ascii="Arial" w:cs="Arial" w:eastAsia="Arial" w:hAnsi="Arial"/>
          <w:b w:val="false"/>
          <w:bCs w:val="false"/>
          <w:color w:val="334155"/>
          <w:sz w:val="21"/>
          <w:szCs w:val="21"/>
        </w:rPr>
        <w:t xml:space="preserve">The matrix below contrasts traditional operational bottlenecks in Balungao against the automated solutions delivered by the E-Balungao Platform: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3610"/>
        <w:gridCol w:w="2708"/>
      </w:tblGrid>
      <w:tr>
        <w:tc>
          <w:tcPr>
            <w:tcW w:type="pct" w:w="1500"/>
            <w:shd w:fill="0038A8" w:val="clear"/>
          </w:tcPr>
          <w:p>
            <w:pPr>
              <w:spacing w:after="80" w:before="80"/>
              <w:jc w:val="left"/>
            </w:pPr>
            <w:r>
              <w:rPr>
                <w:rFonts w:ascii="Arial" w:cs="Arial" w:eastAsia="Arial" w:hAnsi="Arial"/>
                <w:b/>
                <w:bCs/>
                <w:color w:val="FFFFFF"/>
                <w:sz w:val="21"/>
                <w:szCs w:val="21"/>
              </w:rPr>
              <w:t xml:space="preserve">Current Operational Gap</w:t>
            </w:r>
          </w:p>
        </w:tc>
        <w:tc>
          <w:tcPr>
            <w:tcW w:type="pct" w:w="2000"/>
            <w:shd w:fill="0038A8" w:val="clear"/>
          </w:tcPr>
          <w:p>
            <w:pPr>
              <w:spacing w:after="80" w:before="80"/>
              <w:jc w:val="left"/>
            </w:pPr>
            <w:r>
              <w:rPr>
                <w:rFonts w:ascii="Arial" w:cs="Arial" w:eastAsia="Arial" w:hAnsi="Arial"/>
                <w:b/>
                <w:bCs/>
                <w:color w:val="FFFFFF"/>
                <w:sz w:val="21"/>
                <w:szCs w:val="21"/>
              </w:rPr>
              <w:t xml:space="preserve">E-Balungao Platform Response</w:t>
            </w:r>
          </w:p>
        </w:tc>
        <w:tc>
          <w:tcPr>
            <w:tcW w:type="pct" w:w="1500"/>
            <w:shd w:fill="0038A8" w:val="clear"/>
          </w:tcPr>
          <w:p>
            <w:pPr>
              <w:spacing w:after="80" w:before="80"/>
              <w:jc w:val="left"/>
            </w:pPr>
            <w:r>
              <w:rPr>
                <w:rFonts w:ascii="Arial" w:cs="Arial" w:eastAsia="Arial" w:hAnsi="Arial"/>
                <w:b/>
                <w:bCs/>
                <w:color w:val="FFFFFF"/>
                <w:sz w:val="21"/>
                <w:szCs w:val="21"/>
              </w:rPr>
              <w:t xml:space="preserve">Actionable Data for Executive Leadership</w:t>
            </w:r>
          </w:p>
        </w:tc>
      </w:tr>
      <w:tr>
        <w:tc>
          <w:tcPr>
            <w:tcW w:type="pct" w:w="1500"/>
            <w:shd w:fill="FFFFFF" w:val="clear"/>
          </w:tcPr>
          <w:p>
            <w:pPr>
              <w:spacing w:after="60" w:before="60" w:line="240"/>
            </w:pPr>
            <w:r>
              <w:rPr>
                <w:rFonts w:ascii="Arial" w:cs="Arial" w:eastAsia="Arial" w:hAnsi="Arial"/>
                <w:color w:val="334155"/>
                <w:sz w:val="20"/>
                <w:szCs w:val="20"/>
              </w:rPr>
              <w:t xml:space="preserve">Manual and uncoordinated incident reporting across barangays and municipal hall.</w:t>
            </w:r>
          </w:p>
        </w:tc>
        <w:tc>
          <w:tcPr>
            <w:tcW w:type="pct" w:w="2000"/>
            <w:shd w:fill="FFFFFF" w:val="clear"/>
          </w:tcPr>
          <w:p>
            <w:pPr>
              <w:spacing w:after="60" w:before="60" w:line="240"/>
            </w:pPr>
            <w:r>
              <w:rPr>
                <w:rFonts w:ascii="Arial" w:cs="Arial" w:eastAsia="Arial" w:hAnsi="Arial"/>
                <w:color w:val="334155"/>
                <w:sz w:val="20"/>
                <w:szCs w:val="20"/>
              </w:rPr>
              <w:t xml:space="preserve">Centralized Incident Reporting Engine with photo uploads, GPS mapping, and real-time status tracking.</w:t>
            </w:r>
          </w:p>
        </w:tc>
        <w:tc>
          <w:tcPr>
            <w:tcW w:type="pct" w:w="1500"/>
            <w:shd w:fill="FFFFFF" w:val="clear"/>
          </w:tcPr>
          <w:p>
            <w:pPr>
              <w:spacing w:after="60" w:before="60" w:line="240"/>
            </w:pPr>
            <w:r>
              <w:rPr>
                <w:rFonts w:ascii="Arial" w:cs="Arial" w:eastAsia="Arial" w:hAnsi="Arial"/>
                <w:color w:val="334155"/>
                <w:sz w:val="20"/>
                <w:szCs w:val="20"/>
              </w:rPr>
              <w:t xml:space="preserve">Incident heatmaps per barangay, response time metrics, and SLA bottleneck identification.</w:t>
            </w:r>
          </w:p>
        </w:tc>
      </w:tr>
      <w:tr>
        <w:tc>
          <w:tcPr>
            <w:tcW w:type="pct" w:w="1500"/>
            <w:shd w:fill="F8FAFC" w:val="clear"/>
          </w:tcPr>
          <w:p>
            <w:pPr>
              <w:spacing w:after="60" w:before="60" w:line="240"/>
            </w:pPr>
            <w:r>
              <w:rPr>
                <w:rFonts w:ascii="Arial" w:cs="Arial" w:eastAsia="Arial" w:hAnsi="Arial"/>
                <w:color w:val="334155"/>
                <w:sz w:val="20"/>
                <w:szCs w:val="20"/>
              </w:rPr>
              <w:t xml:space="preserve">Long physical queues at BPLO and Treasury for Business Permits and Cedula.</w:t>
            </w:r>
          </w:p>
        </w:tc>
        <w:tc>
          <w:tcPr>
            <w:tcW w:type="pct" w:w="2000"/>
            <w:shd w:fill="F8FAFC" w:val="clear"/>
          </w:tcPr>
          <w:p>
            <w:pPr>
              <w:spacing w:after="60" w:before="60" w:line="240"/>
            </w:pPr>
            <w:r>
              <w:rPr>
                <w:rFonts w:ascii="Arial" w:cs="Arial" w:eastAsia="Arial" w:hAnsi="Arial"/>
                <w:color w:val="334155"/>
                <w:sz w:val="20"/>
                <w:szCs w:val="20"/>
              </w:rPr>
              <w:t xml:space="preserve">Online Application, automated tax assessment engine, electronic approval, and payment gateway integration.</w:t>
            </w:r>
          </w:p>
        </w:tc>
        <w:tc>
          <w:tcPr>
            <w:tcW w:type="pct" w:w="1500"/>
            <w:shd w:fill="F8FAFC" w:val="clear"/>
          </w:tcPr>
          <w:p>
            <w:pPr>
              <w:spacing w:after="60" w:before="60" w:line="240"/>
            </w:pPr>
            <w:r>
              <w:rPr>
                <w:rFonts w:ascii="Arial" w:cs="Arial" w:eastAsia="Arial" w:hAnsi="Arial"/>
                <w:color w:val="334155"/>
                <w:sz w:val="20"/>
                <w:szCs w:val="20"/>
              </w:rPr>
              <w:t xml:space="preserve">Total registered businesses, projected tax revenue, and approval velocity per department.</w:t>
            </w:r>
          </w:p>
        </w:tc>
      </w:tr>
      <w:tr>
        <w:tc>
          <w:tcPr>
            <w:tcW w:type="pct" w:w="1500"/>
            <w:shd w:fill="FFFFFF" w:val="clear"/>
          </w:tcPr>
          <w:p>
            <w:pPr>
              <w:spacing w:after="60" w:before="60" w:line="240"/>
            </w:pPr>
            <w:r>
              <w:rPr>
                <w:rFonts w:ascii="Arial" w:cs="Arial" w:eastAsia="Arial" w:hAnsi="Arial"/>
                <w:color w:val="334155"/>
                <w:sz w:val="20"/>
                <w:szCs w:val="20"/>
              </w:rPr>
              <w:t xml:space="preserve">Fragmented communication between the Municipal Mayor and 20 Barangay Captains.</w:t>
            </w:r>
          </w:p>
        </w:tc>
        <w:tc>
          <w:tcPr>
            <w:tcW w:type="pct" w:w="2000"/>
            <w:shd w:fill="FFFFFF" w:val="clear"/>
          </w:tcPr>
          <w:p>
            <w:pPr>
              <w:spacing w:after="60" w:before="60" w:line="240"/>
            </w:pPr>
            <w:r>
              <w:rPr>
                <w:rFonts w:ascii="Arial" w:cs="Arial" w:eastAsia="Arial" w:hAnsi="Arial"/>
                <w:color w:val="334155"/>
                <w:sz w:val="20"/>
                <w:szCs w:val="20"/>
              </w:rPr>
              <w:t xml:space="preserve">Barangay Sub-Portal &amp; Executive Directives Engine with automated Digital Read Receipts.</w:t>
            </w:r>
          </w:p>
        </w:tc>
        <w:tc>
          <w:tcPr>
            <w:tcW w:type="pct" w:w="1500"/>
            <w:shd w:fill="FFFFFF" w:val="clear"/>
          </w:tcPr>
          <w:p>
            <w:pPr>
              <w:spacing w:after="60" w:before="60" w:line="240"/>
            </w:pPr>
            <w:r>
              <w:rPr>
                <w:rFonts w:ascii="Arial" w:cs="Arial" w:eastAsia="Arial" w:hAnsi="Arial"/>
                <w:color w:val="334155"/>
                <w:sz w:val="20"/>
                <w:szCs w:val="20"/>
              </w:rPr>
              <w:t xml:space="preserve">Audit proof of directive delivery, reading status, and barangay compliance tracking.</w:t>
            </w:r>
          </w:p>
        </w:tc>
      </w:tr>
      <w:tr>
        <w:tc>
          <w:tcPr>
            <w:tcW w:type="pct" w:w="1500"/>
            <w:shd w:fill="F8FAFC" w:val="clear"/>
          </w:tcPr>
          <w:p>
            <w:pPr>
              <w:spacing w:after="60" w:before="60" w:line="240"/>
            </w:pPr>
            <w:r>
              <w:rPr>
                <w:rFonts w:ascii="Arial" w:cs="Arial" w:eastAsia="Arial" w:hAnsi="Arial"/>
                <w:color w:val="334155"/>
                <w:sz w:val="20"/>
                <w:szCs w:val="20"/>
              </w:rPr>
              <w:t xml:space="preserve">Manual tracking of healthcare services and social welfare assistance.</w:t>
            </w:r>
          </w:p>
        </w:tc>
        <w:tc>
          <w:tcPr>
            <w:tcW w:type="pct" w:w="2000"/>
            <w:shd w:fill="F8FAFC" w:val="clear"/>
          </w:tcPr>
          <w:p>
            <w:pPr>
              <w:spacing w:after="60" w:before="60" w:line="240"/>
            </w:pPr>
            <w:r>
              <w:rPr>
                <w:rFonts w:ascii="Arial" w:cs="Arial" w:eastAsia="Arial" w:hAnsi="Arial"/>
                <w:color w:val="334155"/>
                <w:sz w:val="20"/>
                <w:szCs w:val="20"/>
              </w:rPr>
              <w:t xml:space="preserve">RHU Appointment Scheduler &amp; Resident Profile with Senior, PWD, 4Ps, and Farmer tagging.</w:t>
            </w:r>
          </w:p>
        </w:tc>
        <w:tc>
          <w:tcPr>
            <w:tcW w:type="pct" w:w="1500"/>
            <w:shd w:fill="F8FAFC" w:val="clear"/>
          </w:tcPr>
          <w:p>
            <w:pPr>
              <w:spacing w:after="60" w:before="60" w:line="240"/>
            </w:pPr>
            <w:r>
              <w:rPr>
                <w:rFonts w:ascii="Arial" w:cs="Arial" w:eastAsia="Arial" w:hAnsi="Arial"/>
                <w:color w:val="334155"/>
                <w:sz w:val="20"/>
                <w:szCs w:val="20"/>
              </w:rPr>
              <w:t xml:space="preserve">Demographic breakdown of medical assistance recipients and health service demand.</w:t>
            </w:r>
          </w:p>
        </w:tc>
      </w:tr>
      <w:tr>
        <w:tc>
          <w:tcPr>
            <w:tcW w:type="pct" w:w="1500"/>
            <w:shd w:fill="FFFFFF" w:val="clear"/>
          </w:tcPr>
          <w:p>
            <w:pPr>
              <w:spacing w:after="60" w:before="60" w:line="240"/>
            </w:pPr>
            <w:r>
              <w:rPr>
                <w:rFonts w:ascii="Arial" w:cs="Arial" w:eastAsia="Arial" w:hAnsi="Arial"/>
                <w:color w:val="334155"/>
                <w:sz w:val="20"/>
                <w:szCs w:val="20"/>
              </w:rPr>
              <w:t xml:space="preserve">Unautomated daily market stall fee (arkabala) collection at the Public Market.</w:t>
            </w:r>
          </w:p>
        </w:tc>
        <w:tc>
          <w:tcPr>
            <w:tcW w:type="pct" w:w="2000"/>
            <w:shd w:fill="FFFFFF" w:val="clear"/>
          </w:tcPr>
          <w:p>
            <w:pPr>
              <w:spacing w:after="60" w:before="60" w:line="240"/>
            </w:pPr>
            <w:r>
              <w:rPr>
                <w:rFonts w:ascii="Arial" w:cs="Arial" w:eastAsia="Arial" w:hAnsi="Arial"/>
                <w:color w:val="334155"/>
                <w:sz w:val="20"/>
                <w:szCs w:val="20"/>
              </w:rPr>
              <w:t xml:space="preserve">Market Stall Management &amp; Collector Mobile App with instant Bluetooth thermal printing.</w:t>
            </w:r>
          </w:p>
        </w:tc>
        <w:tc>
          <w:tcPr>
            <w:tcW w:type="pct" w:w="1500"/>
            <w:shd w:fill="FFFFFF" w:val="clear"/>
          </w:tcPr>
          <w:p>
            <w:pPr>
              <w:spacing w:after="60" w:before="60" w:line="240"/>
            </w:pPr>
            <w:r>
              <w:rPr>
                <w:rFonts w:ascii="Arial" w:cs="Arial" w:eastAsia="Arial" w:hAnsi="Arial"/>
                <w:color w:val="334155"/>
                <w:sz w:val="20"/>
                <w:szCs w:val="20"/>
              </w:rPr>
              <w:t xml:space="preserve">Daily collection totals per vendor category and real-time delinquent stall monitoring.</w:t>
            </w:r>
          </w:p>
        </w:tc>
      </w:tr>
      <w:tr>
        <w:tc>
          <w:tcPr>
            <w:tcW w:type="pct" w:w="1500"/>
            <w:shd w:fill="F8FAFC" w:val="clear"/>
          </w:tcPr>
          <w:p>
            <w:pPr>
              <w:spacing w:after="60" w:before="60" w:line="240"/>
            </w:pPr>
            <w:r>
              <w:rPr>
                <w:rFonts w:ascii="Arial" w:cs="Arial" w:eastAsia="Arial" w:hAnsi="Arial"/>
                <w:color w:val="334155"/>
                <w:sz w:val="20"/>
                <w:szCs w:val="20"/>
              </w:rPr>
              <w:t xml:space="preserve">Lack of unified real-time visibility for the Mayor and Sangguniang Bayan.</w:t>
            </w:r>
          </w:p>
        </w:tc>
        <w:tc>
          <w:tcPr>
            <w:tcW w:type="pct" w:w="2000"/>
            <w:shd w:fill="F8FAFC" w:val="clear"/>
          </w:tcPr>
          <w:p>
            <w:pPr>
              <w:spacing w:after="60" w:before="60" w:line="240"/>
            </w:pPr>
            <w:r>
              <w:rPr>
                <w:rFonts w:ascii="Arial" w:cs="Arial" w:eastAsia="Arial" w:hAnsi="Arial"/>
                <w:color w:val="334155"/>
                <w:sz w:val="20"/>
                <w:szCs w:val="20"/>
              </w:rPr>
              <w:t xml:space="preserve">Executive Command Center Dashboard consolidating metrics from all 18 modules.</w:t>
            </w:r>
          </w:p>
        </w:tc>
        <w:tc>
          <w:tcPr>
            <w:tcW w:type="pct" w:w="1500"/>
            <w:shd w:fill="F8FAFC" w:val="clear"/>
          </w:tcPr>
          <w:p>
            <w:pPr>
              <w:spacing w:after="60" w:before="60" w:line="240"/>
            </w:pPr>
            <w:r>
              <w:rPr>
                <w:rFonts w:ascii="Arial" w:cs="Arial" w:eastAsia="Arial" w:hAnsi="Arial"/>
                <w:color w:val="334155"/>
                <w:sz w:val="20"/>
                <w:szCs w:val="20"/>
              </w:rPr>
              <w:t xml:space="preserve">Single-pane executive dashboard showing revenue pipelines, active tickets, and LGU KPIs.</w:t>
            </w:r>
          </w:p>
        </w:tc>
      </w:tr>
    </w:tbl>
    <w:p>
      <w:pPr>
        <w:spacing w:after="120" w:before="240"/>
      </w:pPr>
    </w:p>
    <w:p>
      <w:pPr>
        <w:pStyle w:val="Heading1"/>
        <w:keepNext/>
        <w:spacing w:after="180" w:before="360"/>
      </w:pPr>
      <w:r>
        <w:rPr>
          <w:rFonts w:ascii="Arial" w:cs="Arial" w:eastAsia="Arial" w:hAnsi="Arial"/>
          <w:b/>
          <w:bCs/>
          <w:color w:val="0038A8"/>
          <w:sz w:val="28"/>
          <w:szCs w:val="28"/>
        </w:rPr>
        <w:t xml:space="preserve">6. Proposed Platform Architecture</w:t>
      </w:r>
    </w:p>
    <w:p>
      <w:pPr>
        <w:spacing w:after="120" w:before="60" w:line="276"/>
      </w:pPr>
      <w:r>
        <w:rPr>
          <w:rFonts w:ascii="Arial" w:cs="Arial" w:eastAsia="Arial" w:hAnsi="Arial"/>
          <w:b w:val="false"/>
          <w:bCs w:val="false"/>
          <w:color w:val="334155"/>
          <w:sz w:val="21"/>
          <w:szCs w:val="21"/>
        </w:rPr>
        <w:t xml:space="preserve">The E-Balungao Platform is architected on enterprise cloud-native standards to ensure High Availability, Robust Security, and Horizontal Scalability:</w:t>
      </w:r>
    </w:p>
    <w:p>
      <w:pPr>
        <w:pStyle w:val="ListParagraph"/>
        <w:numPr>
          <w:ilvl w:val="0"/>
          <w:numId w:val="1"/>
        </w:numPr>
        <w:spacing w:after="60" w:before="40" w:line="260"/>
      </w:pPr>
      <w:r>
        <w:rPr>
          <w:rFonts w:ascii="Arial" w:cs="Arial" w:eastAsia="Arial" w:hAnsi="Arial"/>
          <w:b/>
          <w:bCs/>
          <w:color w:val="1E293B"/>
          <w:sz w:val="21"/>
          <w:szCs w:val="21"/>
        </w:rPr>
        <w:t xml:space="preserve">1. Presentation Layer (Frontend): </w:t>
      </w:r>
      <w:r>
        <w:rPr>
          <w:rFonts w:ascii="Arial" w:cs="Arial" w:eastAsia="Arial" w:hAnsi="Arial"/>
          <w:color w:val="334155"/>
          <w:sz w:val="21"/>
          <w:szCs w:val="21"/>
        </w:rPr>
        <w:t xml:space="preserve">Next.js React Web Portal, Progressive Web App (PWA), and Native Mobile Framework with dynamic responsive layouts.</w:t>
      </w:r>
    </w:p>
    <w:p>
      <w:pPr>
        <w:pStyle w:val="ListParagraph"/>
        <w:numPr>
          <w:ilvl w:val="0"/>
          <w:numId w:val="1"/>
        </w:numPr>
        <w:spacing w:after="60" w:before="40" w:line="260"/>
      </w:pPr>
      <w:r>
        <w:rPr>
          <w:rFonts w:ascii="Arial" w:cs="Arial" w:eastAsia="Arial" w:hAnsi="Arial"/>
          <w:b/>
          <w:bCs/>
          <w:color w:val="1E293B"/>
          <w:sz w:val="21"/>
          <w:szCs w:val="21"/>
        </w:rPr>
        <w:t xml:space="preserve">2. Application Layer (Middleware): </w:t>
      </w:r>
      <w:r>
        <w:rPr>
          <w:rFonts w:ascii="Arial" w:cs="Arial" w:eastAsia="Arial" w:hAnsi="Arial"/>
          <w:color w:val="334155"/>
          <w:sz w:val="21"/>
          <w:szCs w:val="21"/>
        </w:rPr>
        <w:t xml:space="preserve">API Gateway, Node.js Microservices, Automatic Tax Calculation Engine, and PDF Document Generation Core.</w:t>
      </w:r>
    </w:p>
    <w:p>
      <w:pPr>
        <w:pStyle w:val="ListParagraph"/>
        <w:numPr>
          <w:ilvl w:val="0"/>
          <w:numId w:val="1"/>
        </w:numPr>
        <w:spacing w:after="60" w:before="40" w:line="260"/>
      </w:pPr>
      <w:r>
        <w:rPr>
          <w:rFonts w:ascii="Arial" w:cs="Arial" w:eastAsia="Arial" w:hAnsi="Arial"/>
          <w:b/>
          <w:bCs/>
          <w:color w:val="1E293B"/>
          <w:sz w:val="21"/>
          <w:szCs w:val="21"/>
        </w:rPr>
        <w:t xml:space="preserve">3. Data &amp; Security Layer: </w:t>
      </w:r>
      <w:r>
        <w:rPr>
          <w:rFonts w:ascii="Arial" w:cs="Arial" w:eastAsia="Arial" w:hAnsi="Arial"/>
          <w:color w:val="334155"/>
          <w:sz w:val="21"/>
          <w:szCs w:val="21"/>
        </w:rPr>
        <w:t xml:space="preserve">PostgreSQL Relational Database, Supabase Auth/RBAC, AES-256 Data Encryption at Rest, and TLS 1.3 in Transit.</w:t>
      </w:r>
    </w:p>
    <w:p>
      <w:pPr>
        <w:pStyle w:val="ListParagraph"/>
        <w:numPr>
          <w:ilvl w:val="0"/>
          <w:numId w:val="1"/>
        </w:numPr>
        <w:spacing w:after="60" w:before="40" w:line="260"/>
      </w:pPr>
      <w:r>
        <w:rPr>
          <w:rFonts w:ascii="Arial" w:cs="Arial" w:eastAsia="Arial" w:hAnsi="Arial"/>
          <w:b/>
          <w:bCs/>
          <w:color w:val="1E293B"/>
          <w:sz w:val="21"/>
          <w:szCs w:val="21"/>
        </w:rPr>
        <w:t xml:space="preserve">4. Integration Tier: </w:t>
      </w:r>
      <w:r>
        <w:rPr>
          <w:rFonts w:ascii="Arial" w:cs="Arial" w:eastAsia="Arial" w:hAnsi="Arial"/>
          <w:color w:val="334155"/>
          <w:sz w:val="21"/>
          <w:szCs w:val="21"/>
        </w:rPr>
        <w:t xml:space="preserve">PayMongo / Landbank / Maya Online Payment Gateway, Semaphore SMS API, and Google Maps / OpenStreetMap GIS API.</w:t>
      </w:r>
    </w:p>
    <w:p>
      <w:pPr>
        <w:pStyle w:val="Heading1"/>
        <w:keepNext/>
        <w:spacing w:after="180" w:before="360"/>
      </w:pPr>
      <w:r>
        <w:rPr>
          <w:rFonts w:ascii="Arial" w:cs="Arial" w:eastAsia="Arial" w:hAnsi="Arial"/>
          <w:b/>
          <w:bCs/>
          <w:color w:val="0038A8"/>
          <w:sz w:val="28"/>
          <w:szCs w:val="28"/>
        </w:rPr>
        <w:t xml:space="preserve">7. Scope of Work and Module Value</w:t>
      </w:r>
    </w:p>
    <w:p>
      <w:pPr>
        <w:spacing w:after="120" w:before="60" w:line="276"/>
      </w:pPr>
      <w:r>
        <w:rPr>
          <w:rFonts w:ascii="Arial" w:cs="Arial" w:eastAsia="Arial" w:hAnsi="Arial"/>
          <w:b w:val="false"/>
          <w:bCs w:val="false"/>
          <w:color w:val="334155"/>
          <w:sz w:val="21"/>
          <w:szCs w:val="21"/>
        </w:rPr>
        <w:t xml:space="preserve">The project encompasses 18 fully integrated modules providing a 360-degree digital transformation for Balungao:</w:t>
      </w:r>
    </w:p>
    <w:p>
      <w:pPr>
        <w:pStyle w:val="ListParagraph"/>
        <w:numPr>
          <w:ilvl w:val="0"/>
          <w:numId w:val="1"/>
        </w:numPr>
        <w:spacing w:after="60" w:before="40" w:line="260"/>
      </w:pPr>
      <w:r>
        <w:rPr>
          <w:rFonts w:ascii="Arial" w:cs="Arial" w:eastAsia="Arial" w:hAnsi="Arial"/>
          <w:b/>
          <w:bCs/>
          <w:color w:val="1E293B"/>
          <w:sz w:val="21"/>
          <w:szCs w:val="21"/>
        </w:rPr>
        <w:t xml:space="preserve">Module 1: Executive Command Center &amp; Mayor Dashboard: </w:t>
      </w:r>
      <w:r>
        <w:rPr>
          <w:rFonts w:ascii="Arial" w:cs="Arial" w:eastAsia="Arial" w:hAnsi="Arial"/>
          <w:color w:val="334155"/>
          <w:sz w:val="21"/>
          <w:szCs w:val="21"/>
        </w:rPr>
        <w:t xml:space="preserve">Real-time summary of revenues, incident SLA timers, and 20-barangay metrics.</w:t>
      </w:r>
    </w:p>
    <w:p>
      <w:pPr>
        <w:pStyle w:val="ListParagraph"/>
        <w:numPr>
          <w:ilvl w:val="0"/>
          <w:numId w:val="1"/>
        </w:numPr>
        <w:spacing w:after="60" w:before="40" w:line="260"/>
      </w:pPr>
      <w:r>
        <w:rPr>
          <w:rFonts w:ascii="Arial" w:cs="Arial" w:eastAsia="Arial" w:hAnsi="Arial"/>
          <w:b/>
          <w:bCs/>
          <w:color w:val="1E293B"/>
          <w:sz w:val="21"/>
          <w:szCs w:val="21"/>
        </w:rPr>
        <w:t xml:space="preserve">Module 2: 20-Barangay Portal &amp; Communication Hub: </w:t>
      </w:r>
      <w:r>
        <w:rPr>
          <w:rFonts w:ascii="Arial" w:cs="Arial" w:eastAsia="Arial" w:hAnsi="Arial"/>
          <w:color w:val="334155"/>
          <w:sz w:val="21"/>
          <w:szCs w:val="21"/>
        </w:rPr>
        <w:t xml:space="preserve">Sub-portals for all 20 barangay captains and secretaries for local clearances and messaging.</w:t>
      </w:r>
    </w:p>
    <w:p>
      <w:pPr>
        <w:pStyle w:val="ListParagraph"/>
        <w:numPr>
          <w:ilvl w:val="0"/>
          <w:numId w:val="1"/>
        </w:numPr>
        <w:spacing w:after="60" w:before="40" w:line="260"/>
      </w:pPr>
      <w:r>
        <w:rPr>
          <w:rFonts w:ascii="Arial" w:cs="Arial" w:eastAsia="Arial" w:hAnsi="Arial"/>
          <w:b/>
          <w:bCs/>
          <w:color w:val="1E293B"/>
          <w:sz w:val="21"/>
          <w:szCs w:val="21"/>
        </w:rPr>
        <w:t xml:space="preserve">Module 3: Resident KYC &amp; Digital ID System: </w:t>
      </w:r>
      <w:r>
        <w:rPr>
          <w:rFonts w:ascii="Arial" w:cs="Arial" w:eastAsia="Arial" w:hAnsi="Arial"/>
          <w:color w:val="334155"/>
          <w:sz w:val="21"/>
          <w:szCs w:val="21"/>
        </w:rPr>
        <w:t xml:space="preserve">Verified constituent profiles with encrypted QR code IDs for fast service verification.</w:t>
      </w:r>
    </w:p>
    <w:p>
      <w:pPr>
        <w:pStyle w:val="ListParagraph"/>
        <w:numPr>
          <w:ilvl w:val="0"/>
          <w:numId w:val="1"/>
        </w:numPr>
        <w:spacing w:after="60" w:before="40" w:line="260"/>
      </w:pPr>
      <w:r>
        <w:rPr>
          <w:rFonts w:ascii="Arial" w:cs="Arial" w:eastAsia="Arial" w:hAnsi="Arial"/>
          <w:b/>
          <w:bCs/>
          <w:color w:val="1E293B"/>
          <w:sz w:val="21"/>
          <w:szCs w:val="21"/>
        </w:rPr>
        <w:t xml:space="preserve">Module 4: BPLO Online Business Permitting &amp; Licensing: </w:t>
      </w:r>
      <w:r>
        <w:rPr>
          <w:rFonts w:ascii="Arial" w:cs="Arial" w:eastAsia="Arial" w:hAnsi="Arial"/>
          <w:color w:val="334155"/>
          <w:sz w:val="21"/>
          <w:szCs w:val="21"/>
        </w:rPr>
        <w:t xml:space="preserve">End-to-end online application, automated tax computation, approval workflow, and e-PERMIT generation.</w:t>
      </w:r>
    </w:p>
    <w:p>
      <w:pPr>
        <w:pStyle w:val="ListParagraph"/>
        <w:numPr>
          <w:ilvl w:val="0"/>
          <w:numId w:val="1"/>
        </w:numPr>
        <w:spacing w:after="60" w:before="40" w:line="260"/>
      </w:pPr>
      <w:r>
        <w:rPr>
          <w:rFonts w:ascii="Arial" w:cs="Arial" w:eastAsia="Arial" w:hAnsi="Arial"/>
          <w:b/>
          <w:bCs/>
          <w:color w:val="1E293B"/>
          <w:sz w:val="21"/>
          <w:szCs w:val="21"/>
        </w:rPr>
        <w:t xml:space="preserve">Module 5: Real Property Tax (RPT) Assessment &amp; Online Billing: </w:t>
      </w:r>
      <w:r>
        <w:rPr>
          <w:rFonts w:ascii="Arial" w:cs="Arial" w:eastAsia="Arial" w:hAnsi="Arial"/>
          <w:color w:val="334155"/>
          <w:sz w:val="21"/>
          <w:szCs w:val="21"/>
        </w:rPr>
        <w:t xml:space="preserve">Tax Declaration lookup, automated penalty/discount computation, and online settlement.</w:t>
      </w:r>
    </w:p>
    <w:p>
      <w:pPr>
        <w:pStyle w:val="ListParagraph"/>
        <w:numPr>
          <w:ilvl w:val="0"/>
          <w:numId w:val="1"/>
        </w:numPr>
        <w:spacing w:after="60" w:before="40" w:line="260"/>
      </w:pPr>
      <w:r>
        <w:rPr>
          <w:rFonts w:ascii="Arial" w:cs="Arial" w:eastAsia="Arial" w:hAnsi="Arial"/>
          <w:b/>
          <w:bCs/>
          <w:color w:val="1E293B"/>
          <w:sz w:val="21"/>
          <w:szCs w:val="21"/>
        </w:rPr>
        <w:t xml:space="preserve">Module 6: E-Cedula (Community Tax Certificate) Engine: </w:t>
      </w:r>
      <w:r>
        <w:rPr>
          <w:rFonts w:ascii="Arial" w:cs="Arial" w:eastAsia="Arial" w:hAnsi="Arial"/>
          <w:color w:val="334155"/>
          <w:sz w:val="21"/>
          <w:szCs w:val="21"/>
        </w:rPr>
        <w:t xml:space="preserve">Instant online Cedula calculator and QR-verified electronic document issuance.</w:t>
      </w:r>
    </w:p>
    <w:p>
      <w:pPr>
        <w:pStyle w:val="ListParagraph"/>
        <w:numPr>
          <w:ilvl w:val="0"/>
          <w:numId w:val="1"/>
        </w:numPr>
        <w:spacing w:after="60" w:before="40" w:line="260"/>
      </w:pPr>
      <w:r>
        <w:rPr>
          <w:rFonts w:ascii="Arial" w:cs="Arial" w:eastAsia="Arial" w:hAnsi="Arial"/>
          <w:b/>
          <w:bCs/>
          <w:color w:val="1E293B"/>
          <w:sz w:val="21"/>
          <w:szCs w:val="21"/>
        </w:rPr>
        <w:t xml:space="preserve">Module 7: Local Civil Registry (LCR) Request Hub: </w:t>
      </w:r>
      <w:r>
        <w:rPr>
          <w:rFonts w:ascii="Arial" w:cs="Arial" w:eastAsia="Arial" w:hAnsi="Arial"/>
          <w:color w:val="334155"/>
          <w:sz w:val="21"/>
          <w:szCs w:val="21"/>
        </w:rPr>
        <w:t xml:space="preserve">Online requests for Birth, Marriage, and Death certificates with scheduled release slots.</w:t>
      </w:r>
    </w:p>
    <w:p>
      <w:pPr>
        <w:pStyle w:val="ListParagraph"/>
        <w:numPr>
          <w:ilvl w:val="0"/>
          <w:numId w:val="1"/>
        </w:numPr>
        <w:spacing w:after="60" w:before="40" w:line="260"/>
      </w:pPr>
      <w:r>
        <w:rPr>
          <w:rFonts w:ascii="Arial" w:cs="Arial" w:eastAsia="Arial" w:hAnsi="Arial"/>
          <w:b/>
          <w:bCs/>
          <w:color w:val="1E293B"/>
          <w:sz w:val="21"/>
          <w:szCs w:val="21"/>
        </w:rPr>
        <w:t xml:space="preserve">Module 8: RHU Health &amp; Tele-Appointment Scheduler: </w:t>
      </w:r>
      <w:r>
        <w:rPr>
          <w:rFonts w:ascii="Arial" w:cs="Arial" w:eastAsia="Arial" w:hAnsi="Arial"/>
          <w:color w:val="334155"/>
          <w:sz w:val="21"/>
          <w:szCs w:val="21"/>
        </w:rPr>
        <w:t xml:space="preserve">Consultation booking, immunization tracking, and digital health records.</w:t>
      </w:r>
    </w:p>
    <w:p>
      <w:pPr>
        <w:pStyle w:val="ListParagraph"/>
        <w:numPr>
          <w:ilvl w:val="0"/>
          <w:numId w:val="1"/>
        </w:numPr>
        <w:spacing w:after="60" w:before="40" w:line="260"/>
      </w:pPr>
      <w:r>
        <w:rPr>
          <w:rFonts w:ascii="Arial" w:cs="Arial" w:eastAsia="Arial" w:hAnsi="Arial"/>
          <w:b/>
          <w:bCs/>
          <w:color w:val="1E293B"/>
          <w:sz w:val="21"/>
          <w:szCs w:val="21"/>
        </w:rPr>
        <w:t xml:space="preserve">Module 9: Public Market Stall &amp; Arkabala Management: </w:t>
      </w:r>
      <w:r>
        <w:rPr>
          <w:rFonts w:ascii="Arial" w:cs="Arial" w:eastAsia="Arial" w:hAnsi="Arial"/>
          <w:color w:val="334155"/>
          <w:sz w:val="21"/>
          <w:szCs w:val="21"/>
        </w:rPr>
        <w:t xml:space="preserve">Digital stall ledger, automated monthly billing, and mobile collector app.</w:t>
      </w:r>
    </w:p>
    <w:p>
      <w:pPr>
        <w:pStyle w:val="ListParagraph"/>
        <w:numPr>
          <w:ilvl w:val="0"/>
          <w:numId w:val="1"/>
        </w:numPr>
        <w:spacing w:after="60" w:before="40" w:line="260"/>
      </w:pPr>
      <w:r>
        <w:rPr>
          <w:rFonts w:ascii="Arial" w:cs="Arial" w:eastAsia="Arial" w:hAnsi="Arial"/>
          <w:b/>
          <w:bCs/>
          <w:color w:val="1E293B"/>
          <w:sz w:val="21"/>
          <w:szCs w:val="21"/>
        </w:rPr>
        <w:t xml:space="preserve">Module 10: 911 Emergency Response &amp; Incident Command: </w:t>
      </w:r>
      <w:r>
        <w:rPr>
          <w:rFonts w:ascii="Arial" w:cs="Arial" w:eastAsia="Arial" w:hAnsi="Arial"/>
          <w:color w:val="334155"/>
          <w:sz w:val="21"/>
          <w:szCs w:val="21"/>
        </w:rPr>
        <w:t xml:space="preserve">Instant SOS panic button dispatch, GPS mapping, and PNP/BFP/MDRRMO routing.</w:t>
      </w:r>
    </w:p>
    <w:p>
      <w:pPr>
        <w:pStyle w:val="ListParagraph"/>
        <w:numPr>
          <w:ilvl w:val="0"/>
          <w:numId w:val="1"/>
        </w:numPr>
        <w:spacing w:after="60" w:before="40" w:line="260"/>
      </w:pPr>
      <w:r>
        <w:rPr>
          <w:rFonts w:ascii="Arial" w:cs="Arial" w:eastAsia="Arial" w:hAnsi="Arial"/>
          <w:b/>
          <w:bCs/>
          <w:color w:val="1E293B"/>
          <w:sz w:val="21"/>
          <w:szCs w:val="21"/>
        </w:rPr>
        <w:t xml:space="preserve">Module 11: MSWDO Assistance &amp; Sectoral Tagging: </w:t>
      </w:r>
      <w:r>
        <w:rPr>
          <w:rFonts w:ascii="Arial" w:cs="Arial" w:eastAsia="Arial" w:hAnsi="Arial"/>
          <w:color w:val="334155"/>
          <w:sz w:val="21"/>
          <w:szCs w:val="21"/>
        </w:rPr>
        <w:t xml:space="preserve">Digitized assistance distribution for Senior Citizens, PWDs, 4Ps, and Solo Parents.</w:t>
      </w:r>
    </w:p>
    <w:p>
      <w:pPr>
        <w:pStyle w:val="ListParagraph"/>
        <w:numPr>
          <w:ilvl w:val="0"/>
          <w:numId w:val="1"/>
        </w:numPr>
        <w:spacing w:after="60" w:before="40" w:line="260"/>
      </w:pPr>
      <w:r>
        <w:rPr>
          <w:rFonts w:ascii="Arial" w:cs="Arial" w:eastAsia="Arial" w:hAnsi="Arial"/>
          <w:b/>
          <w:bCs/>
          <w:color w:val="1E293B"/>
          <w:sz w:val="21"/>
          <w:szCs w:val="21"/>
        </w:rPr>
        <w:t xml:space="preserve">Module 12: Agriculture &amp; Agro-Industrial Support Portal: </w:t>
      </w:r>
      <w:r>
        <w:rPr>
          <w:rFonts w:ascii="Arial" w:cs="Arial" w:eastAsia="Arial" w:hAnsi="Arial"/>
          <w:color w:val="334155"/>
          <w:sz w:val="21"/>
          <w:szCs w:val="21"/>
        </w:rPr>
        <w:t xml:space="preserve">Farmer masterlist, crop damage reporting, and fertilizer distribution tracking.</w:t>
      </w:r>
    </w:p>
    <w:p>
      <w:pPr>
        <w:pStyle w:val="ListParagraph"/>
        <w:numPr>
          <w:ilvl w:val="0"/>
          <w:numId w:val="1"/>
        </w:numPr>
        <w:spacing w:after="60" w:before="40" w:line="260"/>
      </w:pPr>
      <w:r>
        <w:rPr>
          <w:rFonts w:ascii="Arial" w:cs="Arial" w:eastAsia="Arial" w:hAnsi="Arial"/>
          <w:b/>
          <w:bCs/>
          <w:color w:val="1E293B"/>
          <w:sz w:val="21"/>
          <w:szCs w:val="21"/>
        </w:rPr>
        <w:t xml:space="preserve">Module 13: PESO Job Board &amp; Employment Matching: </w:t>
      </w:r>
      <w:r>
        <w:rPr>
          <w:rFonts w:ascii="Arial" w:cs="Arial" w:eastAsia="Arial" w:hAnsi="Arial"/>
          <w:color w:val="334155"/>
          <w:sz w:val="21"/>
          <w:szCs w:val="21"/>
        </w:rPr>
        <w:t xml:space="preserve">Local job vacancy postings, resume submissions, and PESO referral tracking.</w:t>
      </w:r>
    </w:p>
    <w:p>
      <w:pPr>
        <w:pStyle w:val="ListParagraph"/>
        <w:numPr>
          <w:ilvl w:val="0"/>
          <w:numId w:val="1"/>
        </w:numPr>
        <w:spacing w:after="60" w:before="40" w:line="260"/>
      </w:pPr>
      <w:r>
        <w:rPr>
          <w:rFonts w:ascii="Arial" w:cs="Arial" w:eastAsia="Arial" w:hAnsi="Arial"/>
          <w:b/>
          <w:bCs/>
          <w:color w:val="1E293B"/>
          <w:sz w:val="21"/>
          <w:szCs w:val="21"/>
        </w:rPr>
        <w:t xml:space="preserve">Module 14: Mt. Balungao Tourism &amp; E-Ticketing System: </w:t>
      </w:r>
      <w:r>
        <w:rPr>
          <w:rFonts w:ascii="Arial" w:cs="Arial" w:eastAsia="Arial" w:hAnsi="Arial"/>
          <w:color w:val="334155"/>
          <w:sz w:val="21"/>
          <w:szCs w:val="21"/>
        </w:rPr>
        <w:t xml:space="preserve">Resort entrance booking, zipline/ATV activity ticketing, and visitor analytics.</w:t>
      </w:r>
    </w:p>
    <w:p>
      <w:pPr>
        <w:pStyle w:val="ListParagraph"/>
        <w:numPr>
          <w:ilvl w:val="0"/>
          <w:numId w:val="1"/>
        </w:numPr>
        <w:spacing w:after="60" w:before="40" w:line="260"/>
      </w:pPr>
      <w:r>
        <w:rPr>
          <w:rFonts w:ascii="Arial" w:cs="Arial" w:eastAsia="Arial" w:hAnsi="Arial"/>
          <w:b/>
          <w:bCs/>
          <w:color w:val="1E293B"/>
          <w:sz w:val="21"/>
          <w:szCs w:val="21"/>
        </w:rPr>
        <w:t xml:space="preserve">Module 15: Treasury Multi-Channel Payment Gateway: </w:t>
      </w:r>
      <w:r>
        <w:rPr>
          <w:rFonts w:ascii="Arial" w:cs="Arial" w:eastAsia="Arial" w:hAnsi="Arial"/>
          <w:color w:val="334155"/>
          <w:sz w:val="21"/>
          <w:szCs w:val="21"/>
        </w:rPr>
        <w:t xml:space="preserve">Seamless processing of GCash, Maya, Credit/Debit Cards, and Landbank LinkBiz transactions.</w:t>
      </w:r>
    </w:p>
    <w:p>
      <w:pPr>
        <w:pStyle w:val="ListParagraph"/>
        <w:numPr>
          <w:ilvl w:val="0"/>
          <w:numId w:val="1"/>
        </w:numPr>
        <w:spacing w:after="60" w:before="40" w:line="260"/>
      </w:pPr>
      <w:r>
        <w:rPr>
          <w:rFonts w:ascii="Arial" w:cs="Arial" w:eastAsia="Arial" w:hAnsi="Arial"/>
          <w:b/>
          <w:bCs/>
          <w:color w:val="1E293B"/>
          <w:sz w:val="21"/>
          <w:szCs w:val="21"/>
        </w:rPr>
        <w:t xml:space="preserve">Module 16: Courier &amp; Document Delivery Fulfillment: </w:t>
      </w:r>
      <w:r>
        <w:rPr>
          <w:rFonts w:ascii="Arial" w:cs="Arial" w:eastAsia="Arial" w:hAnsi="Arial"/>
          <w:color w:val="334155"/>
          <w:sz w:val="21"/>
          <w:szCs w:val="21"/>
        </w:rPr>
        <w:t xml:space="preserve">Citizen choice of Door-to-Door Delivery (LGU Official Rider) or Counter Pickup with POD.</w:t>
      </w:r>
    </w:p>
    <w:p>
      <w:pPr>
        <w:pStyle w:val="ListParagraph"/>
        <w:numPr>
          <w:ilvl w:val="0"/>
          <w:numId w:val="1"/>
        </w:numPr>
        <w:spacing w:after="60" w:before="40" w:line="260"/>
      </w:pPr>
      <w:r>
        <w:rPr>
          <w:rFonts w:ascii="Arial" w:cs="Arial" w:eastAsia="Arial" w:hAnsi="Arial"/>
          <w:b/>
          <w:bCs/>
          <w:color w:val="1E293B"/>
          <w:sz w:val="21"/>
          <w:szCs w:val="21"/>
        </w:rPr>
        <w:t xml:space="preserve">Module 17: Public Transparency &amp; Ordinance Archive: </w:t>
      </w:r>
      <w:r>
        <w:rPr>
          <w:rFonts w:ascii="Arial" w:cs="Arial" w:eastAsia="Arial" w:hAnsi="Arial"/>
          <w:color w:val="334155"/>
          <w:sz w:val="21"/>
          <w:szCs w:val="21"/>
        </w:rPr>
        <w:t xml:space="preserve">Public repository of approved municipal ordinances, budget utilization, and Citizen's Charter.</w:t>
      </w:r>
    </w:p>
    <w:p>
      <w:pPr>
        <w:pStyle w:val="ListParagraph"/>
        <w:numPr>
          <w:ilvl w:val="0"/>
          <w:numId w:val="1"/>
        </w:numPr>
        <w:spacing w:after="60" w:before="40" w:line="260"/>
      </w:pPr>
      <w:r>
        <w:rPr>
          <w:rFonts w:ascii="Arial" w:cs="Arial" w:eastAsia="Arial" w:hAnsi="Arial"/>
          <w:b/>
          <w:bCs/>
          <w:color w:val="1E293B"/>
          <w:sz w:val="21"/>
          <w:szCs w:val="21"/>
        </w:rPr>
        <w:t xml:space="preserve">Module 18: Immutable Audit Log Engine: </w:t>
      </w:r>
      <w:r>
        <w:rPr>
          <w:rFonts w:ascii="Arial" w:cs="Arial" w:eastAsia="Arial" w:hAnsi="Arial"/>
          <w:color w:val="334155"/>
          <w:sz w:val="21"/>
          <w:szCs w:val="21"/>
        </w:rPr>
        <w:t xml:space="preserve">RA 10173 compliant log vault recording every user login, data modification, and approval step.</w:t>
      </w:r>
    </w:p>
    <w:p>
      <w:pPr>
        <w:pStyle w:val="Heading1"/>
        <w:keepNext/>
        <w:spacing w:after="180" w:before="360"/>
      </w:pPr>
      <w:r>
        <w:rPr>
          <w:rFonts w:ascii="Arial" w:cs="Arial" w:eastAsia="Arial" w:hAnsi="Arial"/>
          <w:b/>
          <w:bCs/>
          <w:color w:val="0038A8"/>
          <w:sz w:val="28"/>
          <w:szCs w:val="28"/>
        </w:rPr>
        <w:t xml:space="preserve">8. AI Co-Pilot and Agentic AI Operating Model</w:t>
      </w:r>
    </w:p>
    <w:p>
      <w:pPr>
        <w:spacing w:after="120" w:before="60" w:line="276"/>
      </w:pPr>
      <w:r>
        <w:rPr>
          <w:rFonts w:ascii="Arial" w:cs="Arial" w:eastAsia="Arial" w:hAnsi="Arial"/>
          <w:b w:val="false"/>
          <w:bCs w:val="false"/>
          <w:color w:val="334155"/>
          <w:sz w:val="21"/>
          <w:szCs w:val="21"/>
        </w:rPr>
        <w:t xml:space="preserve">The E-Balungao Platform integrates 'e-Balungao AI Assist'—an Agentic AI Co-Pilot system operating across three functional tiers:</w:t>
      </w:r>
    </w:p>
    <w:p>
      <w:pPr>
        <w:pStyle w:val="ListParagraph"/>
        <w:numPr>
          <w:ilvl w:val="0"/>
          <w:numId w:val="1"/>
        </w:numPr>
        <w:spacing w:after="60" w:before="40" w:line="260"/>
      </w:pPr>
      <w:r>
        <w:rPr>
          <w:rFonts w:ascii="Arial" w:cs="Arial" w:eastAsia="Arial" w:hAnsi="Arial"/>
          <w:b/>
          <w:bCs/>
          <w:color w:val="1E293B"/>
          <w:sz w:val="21"/>
          <w:szCs w:val="21"/>
        </w:rPr>
        <w:t xml:space="preserve">1. Citizen AI Assistant (Public Co-Pilot): </w:t>
      </w:r>
      <w:r>
        <w:rPr>
          <w:rFonts w:ascii="Arial" w:cs="Arial" w:eastAsia="Arial" w:hAnsi="Arial"/>
          <w:color w:val="334155"/>
          <w:sz w:val="21"/>
          <w:szCs w:val="21"/>
        </w:rPr>
        <w:t xml:space="preserve">24/7 Conversational AI (Tagalog/Ilocano/English) answering Citizen's Charter requirements, fee inquiries, and application status.</w:t>
      </w:r>
    </w:p>
    <w:p>
      <w:pPr>
        <w:pStyle w:val="ListParagraph"/>
        <w:numPr>
          <w:ilvl w:val="0"/>
          <w:numId w:val="1"/>
        </w:numPr>
        <w:spacing w:after="60" w:before="40" w:line="260"/>
      </w:pPr>
      <w:r>
        <w:rPr>
          <w:rFonts w:ascii="Arial" w:cs="Arial" w:eastAsia="Arial" w:hAnsi="Arial"/>
          <w:b/>
          <w:bCs/>
          <w:color w:val="1E293B"/>
          <w:sz w:val="21"/>
          <w:szCs w:val="21"/>
        </w:rPr>
        <w:t xml:space="preserve">2. Staff Administrative Co-Pilot: </w:t>
      </w:r>
      <w:r>
        <w:rPr>
          <w:rFonts w:ascii="Arial" w:cs="Arial" w:eastAsia="Arial" w:hAnsi="Arial"/>
          <w:color w:val="334155"/>
          <w:sz w:val="21"/>
          <w:szCs w:val="21"/>
        </w:rPr>
        <w:t xml:space="preserve">Auto-classifies incoming incident tickets, verifies BPLO attachment completeness, and triggers automated alerts before SLA deadlines elapse.</w:t>
      </w:r>
    </w:p>
    <w:p>
      <w:pPr>
        <w:pStyle w:val="ListParagraph"/>
        <w:numPr>
          <w:ilvl w:val="0"/>
          <w:numId w:val="1"/>
        </w:numPr>
        <w:spacing w:after="60" w:before="40" w:line="260"/>
      </w:pPr>
      <w:r>
        <w:rPr>
          <w:rFonts w:ascii="Arial" w:cs="Arial" w:eastAsia="Arial" w:hAnsi="Arial"/>
          <w:b/>
          <w:bCs/>
          <w:color w:val="1E293B"/>
          <w:sz w:val="21"/>
          <w:szCs w:val="21"/>
        </w:rPr>
        <w:t xml:space="preserve">3. Executive Insights Co-Pilot (Mayor's Intelligence): </w:t>
      </w:r>
      <w:r>
        <w:rPr>
          <w:rFonts w:ascii="Arial" w:cs="Arial" w:eastAsia="Arial" w:hAnsi="Arial"/>
          <w:color w:val="334155"/>
          <w:sz w:val="21"/>
          <w:szCs w:val="21"/>
        </w:rPr>
        <w:t xml:space="preserve">Generates predictive revenue forecasts, identifies seasonal RHU health trends, and highlights priority barangay infrastructure needs.</w:t>
      </w:r>
    </w:p>
    <w:p>
      <w:pPr>
        <w:pStyle w:val="Heading1"/>
        <w:keepNext/>
        <w:spacing w:after="180" w:before="360"/>
      </w:pPr>
      <w:r>
        <w:rPr>
          <w:rFonts w:ascii="Arial" w:cs="Arial" w:eastAsia="Arial" w:hAnsi="Arial"/>
          <w:b/>
          <w:bCs/>
          <w:color w:val="0038A8"/>
          <w:sz w:val="28"/>
          <w:szCs w:val="28"/>
        </w:rPr>
        <w:t xml:space="preserve">9. Real-World Service Scenarios</w:t>
      </w:r>
    </w:p>
    <w:p>
      <w:pPr>
        <w:spacing w:after="120" w:before="60" w:line="276"/>
      </w:pPr>
      <w:r>
        <w:rPr>
          <w:rFonts w:ascii="Arial" w:cs="Arial" w:eastAsia="Arial" w:hAnsi="Arial"/>
          <w:b w:val="false"/>
          <w:bCs w:val="false"/>
          <w:color w:val="334155"/>
          <w:sz w:val="21"/>
          <w:szCs w:val="21"/>
        </w:rPr>
        <w:t xml:space="preserve">The following practical use-cases illustrate the operational transformation experienced by Balungao citizens:</w:t>
      </w:r>
    </w:p>
    <w:p>
      <w:pPr>
        <w:pStyle w:val="ListParagraph"/>
        <w:numPr>
          <w:ilvl w:val="0"/>
          <w:numId w:val="1"/>
        </w:numPr>
        <w:spacing w:after="60" w:before="40" w:line="260"/>
      </w:pPr>
      <w:r>
        <w:rPr>
          <w:rFonts w:ascii="Arial" w:cs="Arial" w:eastAsia="Arial" w:hAnsi="Arial"/>
          <w:b/>
          <w:bCs/>
          <w:color w:val="1E293B"/>
          <w:sz w:val="21"/>
          <w:szCs w:val="21"/>
        </w:rPr>
        <w:t xml:space="preserve">Scenario A (Local Business Owner in Brgy. San Anton): </w:t>
      </w:r>
      <w:r>
        <w:rPr>
          <w:rFonts w:ascii="Arial" w:cs="Arial" w:eastAsia="Arial" w:hAnsi="Arial"/>
          <w:color w:val="334155"/>
          <w:sz w:val="21"/>
          <w:szCs w:val="21"/>
        </w:rPr>
        <w:t xml:space="preserve">Mang Juan applies for a sari-sari store permit via smartphone. Uploads barangay clearance and DTI registration. Automated tax is computed at ₱1,250 and paid via GCash. Digital e-Permit is issued within 24 hours without leaving his store.</w:t>
      </w:r>
    </w:p>
    <w:p>
      <w:pPr>
        <w:pStyle w:val="ListParagraph"/>
        <w:numPr>
          <w:ilvl w:val="0"/>
          <w:numId w:val="1"/>
        </w:numPr>
        <w:spacing w:after="60" w:before="40" w:line="260"/>
      </w:pPr>
      <w:r>
        <w:rPr>
          <w:rFonts w:ascii="Arial" w:cs="Arial" w:eastAsia="Arial" w:hAnsi="Arial"/>
          <w:b/>
          <w:bCs/>
          <w:color w:val="1E293B"/>
          <w:sz w:val="21"/>
          <w:szCs w:val="21"/>
        </w:rPr>
        <w:t xml:space="preserve">Scenario B (Tourist Visiting Mt. Balungao Hot Springs): </w:t>
      </w:r>
      <w:r>
        <w:rPr>
          <w:rFonts w:ascii="Arial" w:cs="Arial" w:eastAsia="Arial" w:hAnsi="Arial"/>
          <w:color w:val="334155"/>
          <w:sz w:val="21"/>
          <w:szCs w:val="21"/>
        </w:rPr>
        <w:t xml:space="preserve">A family from Manila books entrance passes and zipline slots through the app prior to travel. Upon arrival at the resort, they scan their mobile QR codes at the gate for instant entry.</w:t>
      </w:r>
    </w:p>
    <w:p>
      <w:pPr>
        <w:pStyle w:val="ListParagraph"/>
        <w:numPr>
          <w:ilvl w:val="0"/>
          <w:numId w:val="1"/>
        </w:numPr>
        <w:spacing w:after="60" w:before="40" w:line="260"/>
      </w:pPr>
      <w:r>
        <w:rPr>
          <w:rFonts w:ascii="Arial" w:cs="Arial" w:eastAsia="Arial" w:hAnsi="Arial"/>
          <w:b/>
          <w:bCs/>
          <w:color w:val="1E293B"/>
          <w:sz w:val="21"/>
          <w:szCs w:val="21"/>
        </w:rPr>
        <w:t xml:space="preserve">Scenario C (Barangay Captain in Brgy. Pugaro): </w:t>
      </w:r>
      <w:r>
        <w:rPr>
          <w:rFonts w:ascii="Arial" w:cs="Arial" w:eastAsia="Arial" w:hAnsi="Arial"/>
          <w:color w:val="334155"/>
          <w:sz w:val="21"/>
          <w:szCs w:val="21"/>
        </w:rPr>
        <w:t xml:space="preserve">A culvert bridge suffers typhoon damage. The Captain snaps photos via the Barangay Portal. The report instantly feeds into the Mayor's Command Center and Engineering Office, dispatching a inspection team within 1 hour.</w:t>
      </w:r>
    </w:p>
    <w:p>
      <w:pPr>
        <w:pStyle w:val="ListParagraph"/>
        <w:numPr>
          <w:ilvl w:val="0"/>
          <w:numId w:val="1"/>
        </w:numPr>
        <w:spacing w:after="60" w:before="40" w:line="260"/>
      </w:pPr>
      <w:r>
        <w:rPr>
          <w:rFonts w:ascii="Arial" w:cs="Arial" w:eastAsia="Arial" w:hAnsi="Arial"/>
          <w:b/>
          <w:bCs/>
          <w:color w:val="1E293B"/>
          <w:sz w:val="21"/>
          <w:szCs w:val="21"/>
        </w:rPr>
        <w:t xml:space="preserve">Scenario D (Senior Citizen in Brgy. Victory): </w:t>
      </w:r>
      <w:r>
        <w:rPr>
          <w:rFonts w:ascii="Arial" w:cs="Arial" w:eastAsia="Arial" w:hAnsi="Arial"/>
          <w:color w:val="334155"/>
          <w:sz w:val="21"/>
          <w:szCs w:val="21"/>
        </w:rPr>
        <w:t xml:space="preserve">Lola Maria requires maintenance medicine. Her daughter schedules an RHU telemedicine consultation online. The doctor prescribes medication, which is delivered directly to their home by the LGU Courier Rider.</w:t>
      </w:r>
    </w:p>
    <w:p>
      <w:pPr>
        <w:pStyle w:val="Heading1"/>
        <w:keepNext/>
        <w:spacing w:after="180" w:before="360"/>
      </w:pPr>
      <w:r>
        <w:rPr>
          <w:rFonts w:ascii="Arial" w:cs="Arial" w:eastAsia="Arial" w:hAnsi="Arial"/>
          <w:b/>
          <w:bCs/>
          <w:color w:val="0038A8"/>
          <w:sz w:val="28"/>
          <w:szCs w:val="28"/>
        </w:rPr>
        <w:t xml:space="preserve">10. Executive Command Center and 20-Barangay Visibility</w:t>
      </w:r>
    </w:p>
    <w:p>
      <w:pPr>
        <w:spacing w:after="120" w:before="60" w:line="276"/>
      </w:pPr>
      <w:r>
        <w:rPr>
          <w:rFonts w:ascii="Arial" w:cs="Arial" w:eastAsia="Arial" w:hAnsi="Arial"/>
          <w:b w:val="false"/>
          <w:bCs w:val="false"/>
          <w:color w:val="334155"/>
          <w:sz w:val="21"/>
          <w:szCs w:val="21"/>
        </w:rPr>
        <w:t xml:space="preserve">The Executive Command Center serves as the operational nerve center for the Municipal Mayor and Administrator:</w:t>
      </w:r>
    </w:p>
    <w:p>
      <w:pPr>
        <w:pStyle w:val="ListParagraph"/>
        <w:numPr>
          <w:ilvl w:val="0"/>
          <w:numId w:val="1"/>
        </w:numPr>
        <w:spacing w:after="60" w:before="40" w:line="260"/>
      </w:pPr>
      <w:r>
        <w:rPr>
          <w:rFonts w:ascii="Arial" w:cs="Arial" w:eastAsia="Arial" w:hAnsi="Arial"/>
          <w:b/>
          <w:bCs/>
          <w:color w:val="1E293B"/>
          <w:sz w:val="21"/>
          <w:szCs w:val="21"/>
        </w:rPr>
        <w:t xml:space="preserve">20-Barangay Interactive GIS Map: </w:t>
      </w:r>
      <w:r>
        <w:rPr>
          <w:rFonts w:ascii="Arial" w:cs="Arial" w:eastAsia="Arial" w:hAnsi="Arial"/>
          <w:color w:val="334155"/>
          <w:sz w:val="21"/>
          <w:szCs w:val="21"/>
        </w:rPr>
        <w:t xml:space="preserve">Visual overlays displaying active incident reports, infrastructure projects, and social welfare distribution across all 20 barangays.</w:t>
      </w:r>
    </w:p>
    <w:p>
      <w:pPr>
        <w:pStyle w:val="ListParagraph"/>
        <w:numPr>
          <w:ilvl w:val="0"/>
          <w:numId w:val="1"/>
        </w:numPr>
        <w:spacing w:after="60" w:before="40" w:line="260"/>
      </w:pPr>
      <w:r>
        <w:rPr>
          <w:rFonts w:ascii="Arial" w:cs="Arial" w:eastAsia="Arial" w:hAnsi="Arial"/>
          <w:b/>
          <w:bCs/>
          <w:color w:val="1E293B"/>
          <w:sz w:val="21"/>
          <w:szCs w:val="21"/>
        </w:rPr>
        <w:t xml:space="preserve">Live Revenue Collection Monitor: </w:t>
      </w:r>
      <w:r>
        <w:rPr>
          <w:rFonts w:ascii="Arial" w:cs="Arial" w:eastAsia="Arial" w:hAnsi="Arial"/>
          <w:color w:val="334155"/>
          <w:sz w:val="21"/>
          <w:szCs w:val="21"/>
        </w:rPr>
        <w:t xml:space="preserve">Real-time tracking of daily receipts from BPLO, RPT, Public Market, and Mt. Balungao Tourism.</w:t>
      </w:r>
    </w:p>
    <w:p>
      <w:pPr>
        <w:pStyle w:val="ListParagraph"/>
        <w:numPr>
          <w:ilvl w:val="0"/>
          <w:numId w:val="1"/>
        </w:numPr>
        <w:spacing w:after="60" w:before="40" w:line="260"/>
      </w:pPr>
      <w:r>
        <w:rPr>
          <w:rFonts w:ascii="Arial" w:cs="Arial" w:eastAsia="Arial" w:hAnsi="Arial"/>
          <w:b/>
          <w:bCs/>
          <w:color w:val="1E293B"/>
          <w:sz w:val="21"/>
          <w:szCs w:val="21"/>
        </w:rPr>
        <w:t xml:space="preserve">Departmental SLA Tracker: </w:t>
      </w:r>
      <w:r>
        <w:rPr>
          <w:rFonts w:ascii="Arial" w:cs="Arial" w:eastAsia="Arial" w:hAnsi="Arial"/>
          <w:color w:val="334155"/>
          <w:sz w:val="21"/>
          <w:szCs w:val="21"/>
        </w:rPr>
        <w:t xml:space="preserve">Monitors processing speed and service resolution times across all municipal departments to eliminate administrative drag.</w:t>
      </w:r>
    </w:p>
    <w:p>
      <w:pPr>
        <w:pStyle w:val="ListParagraph"/>
        <w:numPr>
          <w:ilvl w:val="0"/>
          <w:numId w:val="1"/>
        </w:numPr>
        <w:spacing w:after="60" w:before="40" w:line="260"/>
      </w:pPr>
      <w:r>
        <w:rPr>
          <w:rFonts w:ascii="Arial" w:cs="Arial" w:eastAsia="Arial" w:hAnsi="Arial"/>
          <w:b/>
          <w:bCs/>
          <w:color w:val="1E293B"/>
          <w:sz w:val="21"/>
          <w:szCs w:val="21"/>
        </w:rPr>
        <w:t xml:space="preserve">Executive Directives Engine: </w:t>
      </w:r>
      <w:r>
        <w:rPr>
          <w:rFonts w:ascii="Arial" w:cs="Arial" w:eastAsia="Arial" w:hAnsi="Arial"/>
          <w:color w:val="334155"/>
          <w:sz w:val="21"/>
          <w:szCs w:val="21"/>
        </w:rPr>
        <w:t xml:space="preserve">Enables instant transmission of executive orders and emergency alerts to all 20 Barangay Captains with digital confirmation receipts.</w:t>
      </w:r>
    </w:p>
    <w:p>
      <w:pPr>
        <w:pStyle w:val="Heading1"/>
        <w:keepNext/>
        <w:spacing w:after="180" w:before="360"/>
      </w:pPr>
      <w:r>
        <w:rPr>
          <w:rFonts w:ascii="Arial" w:cs="Arial" w:eastAsia="Arial" w:hAnsi="Arial"/>
          <w:b/>
          <w:bCs/>
          <w:color w:val="0038A8"/>
          <w:sz w:val="28"/>
          <w:szCs w:val="28"/>
        </w:rPr>
        <w:t xml:space="preserve">11. Implementation Roadmap and Acceptance Criteria</w:t>
      </w:r>
    </w:p>
    <w:p>
      <w:pPr>
        <w:spacing w:after="120" w:before="60" w:line="276"/>
      </w:pPr>
      <w:r>
        <w:rPr>
          <w:rFonts w:ascii="Arial" w:cs="Arial" w:eastAsia="Arial" w:hAnsi="Arial"/>
          <w:b w:val="false"/>
          <w:bCs w:val="false"/>
          <w:color w:val="334155"/>
          <w:sz w:val="21"/>
          <w:szCs w:val="21"/>
        </w:rPr>
        <w:t xml:space="preserve">To guarantee seamless adoption and risk mitigation, the platform rollout follows a 6-month (28-week) phased roadmap: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4062"/>
        <w:gridCol w:w="2708"/>
      </w:tblGrid>
      <w:tr>
        <w:tc>
          <w:tcPr>
            <w:tcW w:type="pct" w:w="1250"/>
            <w:shd w:fill="0038A8" w:val="clear"/>
          </w:tcPr>
          <w:p>
            <w:pPr>
              <w:spacing w:after="80" w:before="80"/>
              <w:jc w:val="left"/>
            </w:pPr>
            <w:r>
              <w:rPr>
                <w:rFonts w:ascii="Arial" w:cs="Arial" w:eastAsia="Arial" w:hAnsi="Arial"/>
                <w:b/>
                <w:bCs/>
                <w:color w:val="FFFFFF"/>
                <w:sz w:val="21"/>
                <w:szCs w:val="21"/>
              </w:rPr>
              <w:t xml:space="preserve">Phase / Timeline</w:t>
            </w:r>
          </w:p>
        </w:tc>
        <w:tc>
          <w:tcPr>
            <w:tcW w:type="pct" w:w="2250"/>
            <w:shd w:fill="0038A8" w:val="clear"/>
          </w:tcPr>
          <w:p>
            <w:pPr>
              <w:spacing w:after="80" w:before="80"/>
              <w:jc w:val="left"/>
            </w:pPr>
            <w:r>
              <w:rPr>
                <w:rFonts w:ascii="Arial" w:cs="Arial" w:eastAsia="Arial" w:hAnsi="Arial"/>
                <w:b/>
                <w:bCs/>
                <w:color w:val="FFFFFF"/>
                <w:sz w:val="21"/>
                <w:szCs w:val="21"/>
              </w:rPr>
              <w:t xml:space="preserve">Key Implementation Activities</w:t>
            </w:r>
          </w:p>
        </w:tc>
        <w:tc>
          <w:tcPr>
            <w:tcW w:type="pct" w:w="1500"/>
            <w:shd w:fill="0038A8" w:val="clear"/>
          </w:tcPr>
          <w:p>
            <w:pPr>
              <w:spacing w:after="80" w:before="80"/>
              <w:jc w:val="left"/>
            </w:pPr>
            <w:r>
              <w:rPr>
                <w:rFonts w:ascii="Arial" w:cs="Arial" w:eastAsia="Arial" w:hAnsi="Arial"/>
                <w:b/>
                <w:bCs/>
                <w:color w:val="FFFFFF"/>
                <w:sz w:val="21"/>
                <w:szCs w:val="21"/>
              </w:rPr>
              <w:t xml:space="preserve">Expected Deliverables &amp; Sign-Off</w:t>
            </w:r>
          </w:p>
        </w:tc>
      </w:tr>
      <w:tr>
        <w:tc>
          <w:tcPr>
            <w:tcW w:type="pct" w:w="1250"/>
            <w:shd w:fill="FFFFFF" w:val="clear"/>
          </w:tcPr>
          <w:p>
            <w:pPr>
              <w:spacing w:after="60" w:before="60" w:line="240"/>
            </w:pPr>
            <w:r>
              <w:rPr>
                <w:rFonts w:ascii="Arial" w:cs="Arial" w:eastAsia="Arial" w:hAnsi="Arial"/>
                <w:color w:val="334155"/>
                <w:sz w:val="20"/>
                <w:szCs w:val="20"/>
              </w:rPr>
              <w:t xml:space="preserve">Phase 1: Foundation &amp; Branding (Weeks 1-4)</w:t>
            </w:r>
          </w:p>
        </w:tc>
        <w:tc>
          <w:tcPr>
            <w:tcW w:type="pct" w:w="2250"/>
            <w:shd w:fill="FFFFFF" w:val="clear"/>
          </w:tcPr>
          <w:p>
            <w:pPr>
              <w:spacing w:after="60" w:before="60" w:line="240"/>
            </w:pPr>
            <w:r>
              <w:rPr>
                <w:rFonts w:ascii="Arial" w:cs="Arial" w:eastAsia="Arial" w:hAnsi="Arial"/>
                <w:color w:val="334155"/>
                <w:sz w:val="20"/>
                <w:szCs w:val="20"/>
              </w:rPr>
              <w:t xml:space="preserve">Configure official Balungao municipal branding, logo assets, 20-Barangay boundaries, and system parameters.</w:t>
            </w:r>
          </w:p>
        </w:tc>
        <w:tc>
          <w:tcPr>
            <w:tcW w:type="pct" w:w="1500"/>
            <w:shd w:fill="FFFFFF" w:val="clear"/>
          </w:tcPr>
          <w:p>
            <w:pPr>
              <w:spacing w:after="60" w:before="60" w:line="240"/>
            </w:pPr>
            <w:r>
              <w:rPr>
                <w:rFonts w:ascii="Arial" w:cs="Arial" w:eastAsia="Arial" w:hAnsi="Arial"/>
                <w:color w:val="334155"/>
                <w:sz w:val="20"/>
                <w:szCs w:val="20"/>
              </w:rPr>
              <w:t xml:space="preserve">Localized Balungao branding guide and active core system staging environment.</w:t>
            </w:r>
          </w:p>
        </w:tc>
      </w:tr>
      <w:tr>
        <w:tc>
          <w:tcPr>
            <w:tcW w:type="pct" w:w="1250"/>
            <w:shd w:fill="F8FAFC" w:val="clear"/>
          </w:tcPr>
          <w:p>
            <w:pPr>
              <w:spacing w:after="60" w:before="60" w:line="240"/>
            </w:pPr>
            <w:r>
              <w:rPr>
                <w:rFonts w:ascii="Arial" w:cs="Arial" w:eastAsia="Arial" w:hAnsi="Arial"/>
                <w:color w:val="334155"/>
                <w:sz w:val="20"/>
                <w:szCs w:val="20"/>
              </w:rPr>
              <w:t xml:space="preserve">Phase 2: User Staging &amp; KYC Registration (Weeks 5-10)</w:t>
            </w:r>
          </w:p>
        </w:tc>
        <w:tc>
          <w:tcPr>
            <w:tcW w:type="pct" w:w="2250"/>
            <w:shd w:fill="F8FAFC" w:val="clear"/>
          </w:tcPr>
          <w:p>
            <w:pPr>
              <w:spacing w:after="60" w:before="60" w:line="240"/>
            </w:pPr>
            <w:r>
              <w:rPr>
                <w:rFonts w:ascii="Arial" w:cs="Arial" w:eastAsia="Arial" w:hAnsi="Arial"/>
                <w:color w:val="334155"/>
                <w:sz w:val="20"/>
                <w:szCs w:val="20"/>
              </w:rPr>
              <w:t xml:space="preserve">Deploy Resident Self-Registration portal and test KYC document verification workflows.</w:t>
            </w:r>
          </w:p>
        </w:tc>
        <w:tc>
          <w:tcPr>
            <w:tcW w:type="pct" w:w="1500"/>
            <w:shd w:fill="F8FAFC" w:val="clear"/>
          </w:tcPr>
          <w:p>
            <w:pPr>
              <w:spacing w:after="60" w:before="60" w:line="240"/>
            </w:pPr>
            <w:r>
              <w:rPr>
                <w:rFonts w:ascii="Arial" w:cs="Arial" w:eastAsia="Arial" w:hAnsi="Arial"/>
                <w:color w:val="334155"/>
                <w:sz w:val="20"/>
                <w:szCs w:val="20"/>
              </w:rPr>
              <w:t xml:space="preserve">Initial constituent user registry and verified access database.</w:t>
            </w:r>
          </w:p>
        </w:tc>
      </w:tr>
      <w:tr>
        <w:tc>
          <w:tcPr>
            <w:tcW w:type="pct" w:w="1250"/>
            <w:shd w:fill="FFFFFF" w:val="clear"/>
          </w:tcPr>
          <w:p>
            <w:pPr>
              <w:spacing w:after="60" w:before="60" w:line="240"/>
            </w:pPr>
            <w:r>
              <w:rPr>
                <w:rFonts w:ascii="Arial" w:cs="Arial" w:eastAsia="Arial" w:hAnsi="Arial"/>
                <w:color w:val="334155"/>
                <w:sz w:val="20"/>
                <w:szCs w:val="20"/>
              </w:rPr>
              <w:t xml:space="preserve">Phase 3: Core Service Modules Staging (Weeks 11-18)</w:t>
            </w:r>
          </w:p>
        </w:tc>
        <w:tc>
          <w:tcPr>
            <w:tcW w:type="pct" w:w="2250"/>
            <w:shd w:fill="FFFFFF" w:val="clear"/>
          </w:tcPr>
          <w:p>
            <w:pPr>
              <w:spacing w:after="60" w:before="60" w:line="240"/>
            </w:pPr>
            <w:r>
              <w:rPr>
                <w:rFonts w:ascii="Arial" w:cs="Arial" w:eastAsia="Arial" w:hAnsi="Arial"/>
                <w:color w:val="334155"/>
                <w:sz w:val="20"/>
                <w:szCs w:val="20"/>
              </w:rPr>
              <w:t xml:space="preserve">Configure BPLO, Cedula, Civil Registry, RHU Scheduler, and Incident Reporting modules.</w:t>
            </w:r>
          </w:p>
        </w:tc>
        <w:tc>
          <w:tcPr>
            <w:tcW w:type="pct" w:w="1500"/>
            <w:shd w:fill="FFFFFF" w:val="clear"/>
          </w:tcPr>
          <w:p>
            <w:pPr>
              <w:spacing w:after="60" w:before="60" w:line="240"/>
            </w:pPr>
            <w:r>
              <w:rPr>
                <w:rFonts w:ascii="Arial" w:cs="Arial" w:eastAsia="Arial" w:hAnsi="Arial"/>
                <w:color w:val="334155"/>
                <w:sz w:val="20"/>
                <w:szCs w:val="20"/>
              </w:rPr>
              <w:t xml:space="preserve">Fully functional staging counters with verified departmental workflows.</w:t>
            </w:r>
          </w:p>
        </w:tc>
      </w:tr>
      <w:tr>
        <w:tc>
          <w:tcPr>
            <w:tcW w:type="pct" w:w="1250"/>
            <w:shd w:fill="F8FAFC" w:val="clear"/>
          </w:tcPr>
          <w:p>
            <w:pPr>
              <w:spacing w:after="60" w:before="60" w:line="240"/>
            </w:pPr>
            <w:r>
              <w:rPr>
                <w:rFonts w:ascii="Arial" w:cs="Arial" w:eastAsia="Arial" w:hAnsi="Arial"/>
                <w:color w:val="334155"/>
                <w:sz w:val="20"/>
                <w:szCs w:val="20"/>
              </w:rPr>
              <w:t xml:space="preserve">Phase 4: UAT &amp; Staff Training (Weeks 19-24)</w:t>
            </w:r>
          </w:p>
        </w:tc>
        <w:tc>
          <w:tcPr>
            <w:tcW w:type="pct" w:w="2250"/>
            <w:shd w:fill="F8FAFC" w:val="clear"/>
          </w:tcPr>
          <w:p>
            <w:pPr>
              <w:spacing w:after="60" w:before="60" w:line="240"/>
            </w:pPr>
            <w:r>
              <w:rPr>
                <w:rFonts w:ascii="Arial" w:cs="Arial" w:eastAsia="Arial" w:hAnsi="Arial"/>
                <w:color w:val="334155"/>
                <w:sz w:val="20"/>
                <w:szCs w:val="20"/>
              </w:rPr>
              <w:t xml:space="preserve">Execute comprehensive training for Municipal Staff and 20 Barangay Captains/Secretaries.</w:t>
            </w:r>
          </w:p>
        </w:tc>
        <w:tc>
          <w:tcPr>
            <w:tcW w:type="pct" w:w="1500"/>
            <w:shd w:fill="F8FAFC" w:val="clear"/>
          </w:tcPr>
          <w:p>
            <w:pPr>
              <w:spacing w:after="60" w:before="60" w:line="240"/>
            </w:pPr>
            <w:r>
              <w:rPr>
                <w:rFonts w:ascii="Arial" w:cs="Arial" w:eastAsia="Arial" w:hAnsi="Arial"/>
                <w:color w:val="334155"/>
                <w:sz w:val="20"/>
                <w:szCs w:val="20"/>
              </w:rPr>
              <w:t xml:space="preserve">Trained staff roster and signed User Acceptance Testing (UAT) sign-off document.</w:t>
            </w:r>
          </w:p>
        </w:tc>
      </w:tr>
      <w:tr>
        <w:tc>
          <w:tcPr>
            <w:tcW w:type="pct" w:w="1250"/>
            <w:shd w:fill="FFFFFF" w:val="clear"/>
          </w:tcPr>
          <w:p>
            <w:pPr>
              <w:spacing w:after="60" w:before="60" w:line="240"/>
            </w:pPr>
            <w:r>
              <w:rPr>
                <w:rFonts w:ascii="Arial" w:cs="Arial" w:eastAsia="Arial" w:hAnsi="Arial"/>
                <w:color w:val="334155"/>
                <w:sz w:val="20"/>
                <w:szCs w:val="20"/>
              </w:rPr>
              <w:t xml:space="preserve">Phase 5: Public Launch &amp; Live Rollout (Weeks 25-28)</w:t>
            </w:r>
          </w:p>
        </w:tc>
        <w:tc>
          <w:tcPr>
            <w:tcW w:type="pct" w:w="2250"/>
            <w:shd w:fill="FFFFFF" w:val="clear"/>
          </w:tcPr>
          <w:p>
            <w:pPr>
              <w:spacing w:after="60" w:before="60" w:line="240"/>
            </w:pPr>
            <w:r>
              <w:rPr>
                <w:rFonts w:ascii="Arial" w:cs="Arial" w:eastAsia="Arial" w:hAnsi="Arial"/>
                <w:color w:val="334155"/>
                <w:sz w:val="20"/>
                <w:szCs w:val="20"/>
              </w:rPr>
              <w:t xml:space="preserve">Official public launch of the E-Balungao Mobile App and Web Portal.</w:t>
            </w:r>
          </w:p>
        </w:tc>
        <w:tc>
          <w:tcPr>
            <w:tcW w:type="pct" w:w="1500"/>
            <w:shd w:fill="FFFFFF" w:val="clear"/>
          </w:tcPr>
          <w:p>
            <w:pPr>
              <w:spacing w:after="60" w:before="60" w:line="240"/>
            </w:pPr>
            <w:r>
              <w:rPr>
                <w:rFonts w:ascii="Arial" w:cs="Arial" w:eastAsia="Arial" w:hAnsi="Arial"/>
                <w:color w:val="334155"/>
                <w:sz w:val="20"/>
                <w:szCs w:val="20"/>
              </w:rPr>
              <w:t xml:space="preserve">Live public deployment, active payment gateway, and operational Executive Command Center.</w:t>
            </w:r>
          </w:p>
        </w:tc>
      </w:tr>
    </w:tbl>
    <w:p>
      <w:pPr>
        <w:spacing w:after="120" w:before="240"/>
      </w:pPr>
    </w:p>
    <w:p>
      <w:pPr>
        <w:pStyle w:val="Heading1"/>
        <w:keepNext/>
        <w:spacing w:after="180" w:before="360"/>
      </w:pPr>
      <w:r>
        <w:rPr>
          <w:rFonts w:ascii="Arial" w:cs="Arial" w:eastAsia="Arial" w:hAnsi="Arial"/>
          <w:b/>
          <w:bCs/>
          <w:color w:val="0038A8"/>
          <w:sz w:val="28"/>
          <w:szCs w:val="28"/>
        </w:rPr>
        <w:t xml:space="preserve">12. Financial Investment and Payment Terms</w:t>
      </w:r>
    </w:p>
    <w:p>
      <w:pPr>
        <w:spacing w:after="120" w:before="60" w:line="276"/>
      </w:pPr>
      <w:r>
        <w:rPr>
          <w:rFonts w:ascii="Arial" w:cs="Arial" w:eastAsia="Arial" w:hAnsi="Arial"/>
          <w:b w:val="false"/>
          <w:bCs w:val="false"/>
          <w:color w:val="334155"/>
          <w:sz w:val="21"/>
          <w:szCs w:val="21"/>
        </w:rPr>
        <w:t xml:space="preserve">The commercial structure aligns with milestone-based performance triggers to adhere strictly to LGU accounting and procurement guidelines: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10"/>
        <w:gridCol w:w="1354"/>
        <w:gridCol w:w="4062"/>
      </w:tblGrid>
      <w:tr>
        <w:tc>
          <w:tcPr>
            <w:tcW w:type="pct" w:w="2000"/>
            <w:shd w:fill="0038A8" w:val="clear"/>
          </w:tcPr>
          <w:p>
            <w:pPr>
              <w:spacing w:after="80" w:before="80"/>
              <w:jc w:val="left"/>
            </w:pPr>
            <w:r>
              <w:rPr>
                <w:rFonts w:ascii="Arial" w:cs="Arial" w:eastAsia="Arial" w:hAnsi="Arial"/>
                <w:b/>
                <w:bCs/>
                <w:color w:val="FFFFFF"/>
                <w:sz w:val="21"/>
                <w:szCs w:val="21"/>
              </w:rPr>
              <w:t xml:space="preserve">Project Milestone</w:t>
            </w:r>
          </w:p>
        </w:tc>
        <w:tc>
          <w:tcPr>
            <w:tcW w:type="pct" w:w="750"/>
            <w:shd w:fill="0038A8" w:val="clear"/>
          </w:tcPr>
          <w:p>
            <w:pPr>
              <w:spacing w:after="80" w:before="80"/>
              <w:jc w:val="left"/>
            </w:pPr>
            <w:r>
              <w:rPr>
                <w:rFonts w:ascii="Arial" w:cs="Arial" w:eastAsia="Arial" w:hAnsi="Arial"/>
                <w:b/>
                <w:bCs/>
                <w:color w:val="FFFFFF"/>
                <w:sz w:val="21"/>
                <w:szCs w:val="21"/>
              </w:rPr>
              <w:t xml:space="preserve">Payment Allocation (%)</w:t>
            </w:r>
          </w:p>
        </w:tc>
        <w:tc>
          <w:tcPr>
            <w:tcW w:type="pct" w:w="2250"/>
            <w:shd w:fill="0038A8" w:val="clear"/>
          </w:tcPr>
          <w:p>
            <w:pPr>
              <w:spacing w:after="80" w:before="80"/>
              <w:jc w:val="left"/>
            </w:pPr>
            <w:r>
              <w:rPr>
                <w:rFonts w:ascii="Arial" w:cs="Arial" w:eastAsia="Arial" w:hAnsi="Arial"/>
                <w:b/>
                <w:bCs/>
                <w:color w:val="FFFFFF"/>
                <w:sz w:val="21"/>
                <w:szCs w:val="21"/>
              </w:rPr>
              <w:t xml:space="preserve">Milestone Payment Trigger / Deliverable</w:t>
            </w:r>
          </w:p>
        </w:tc>
      </w:tr>
      <w:tr>
        <w:tc>
          <w:tcPr>
            <w:tcW w:type="pct" w:w="2000"/>
            <w:shd w:fill="FFFFFF" w:val="clear"/>
          </w:tcPr>
          <w:p>
            <w:pPr>
              <w:spacing w:after="60" w:before="60" w:line="240"/>
            </w:pPr>
            <w:r>
              <w:rPr>
                <w:rFonts w:ascii="Arial" w:cs="Arial" w:eastAsia="Arial" w:hAnsi="Arial"/>
                <w:color w:val="334155"/>
                <w:sz w:val="20"/>
                <w:szCs w:val="20"/>
              </w:rPr>
              <w:t xml:space="preserve">1. Project Kick-off &amp; Notice to Proceed</w:t>
            </w:r>
          </w:p>
        </w:tc>
        <w:tc>
          <w:tcPr>
            <w:tcW w:type="pct" w:w="750"/>
            <w:shd w:fill="FFFFFF" w:val="clear"/>
          </w:tcPr>
          <w:p>
            <w:pPr>
              <w:spacing w:after="60" w:before="60" w:line="240"/>
            </w:pPr>
            <w:r>
              <w:rPr>
                <w:rFonts w:ascii="Arial" w:cs="Arial" w:eastAsia="Arial" w:hAnsi="Arial"/>
                <w:color w:val="334155"/>
                <w:sz w:val="20"/>
                <w:szCs w:val="20"/>
              </w:rPr>
              <w:t xml:space="preserve">30%</w:t>
            </w:r>
          </w:p>
        </w:tc>
        <w:tc>
          <w:tcPr>
            <w:tcW w:type="pct" w:w="2250"/>
            <w:shd w:fill="FFFFFF" w:val="clear"/>
          </w:tcPr>
          <w:p>
            <w:pPr>
              <w:spacing w:after="60" w:before="60" w:line="240"/>
            </w:pPr>
            <w:r>
              <w:rPr>
                <w:rFonts w:ascii="Arial" w:cs="Arial" w:eastAsia="Arial" w:hAnsi="Arial"/>
                <w:color w:val="334155"/>
                <w:sz w:val="20"/>
                <w:szCs w:val="20"/>
              </w:rPr>
              <w:t xml:space="preserve">Execution of Contract / Notice to Proceed (NTP) issuance and approved Kick-off Blueprint.</w:t>
            </w:r>
          </w:p>
        </w:tc>
      </w:tr>
      <w:tr>
        <w:tc>
          <w:tcPr>
            <w:tcW w:type="pct" w:w="2000"/>
            <w:shd w:fill="F8FAFC" w:val="clear"/>
          </w:tcPr>
          <w:p>
            <w:pPr>
              <w:spacing w:after="60" w:before="60" w:line="240"/>
            </w:pPr>
            <w:r>
              <w:rPr>
                <w:rFonts w:ascii="Arial" w:cs="Arial" w:eastAsia="Arial" w:hAnsi="Arial"/>
                <w:color w:val="334155"/>
                <w:sz w:val="20"/>
                <w:szCs w:val="20"/>
              </w:rPr>
              <w:t xml:space="preserve">2. Localized System Blueprint &amp; UI/UX Approval</w:t>
            </w:r>
          </w:p>
        </w:tc>
        <w:tc>
          <w:tcPr>
            <w:tcW w:type="pct" w:w="750"/>
            <w:shd w:fill="F8FAFC" w:val="clear"/>
          </w:tcPr>
          <w:p>
            <w:pPr>
              <w:spacing w:after="60" w:before="60" w:line="240"/>
            </w:pPr>
            <w:r>
              <w:rPr>
                <w:rFonts w:ascii="Arial" w:cs="Arial" w:eastAsia="Arial" w:hAnsi="Arial"/>
                <w:color w:val="334155"/>
                <w:sz w:val="20"/>
                <w:szCs w:val="20"/>
              </w:rPr>
              <w:t xml:space="preserve">25%</w:t>
            </w:r>
          </w:p>
        </w:tc>
        <w:tc>
          <w:tcPr>
            <w:tcW w:type="pct" w:w="2250"/>
            <w:shd w:fill="F8FAFC" w:val="clear"/>
          </w:tcPr>
          <w:p>
            <w:pPr>
              <w:spacing w:after="60" w:before="60" w:line="240"/>
            </w:pPr>
            <w:r>
              <w:rPr>
                <w:rFonts w:ascii="Arial" w:cs="Arial" w:eastAsia="Arial" w:hAnsi="Arial"/>
                <w:color w:val="334155"/>
                <w:sz w:val="20"/>
                <w:szCs w:val="20"/>
              </w:rPr>
              <w:t xml:space="preserve">Approval of customized Balungao branding, 20-barangay GIS mapping, and user journeys.</w:t>
            </w:r>
          </w:p>
        </w:tc>
      </w:tr>
      <w:tr>
        <w:tc>
          <w:tcPr>
            <w:tcW w:type="pct" w:w="2000"/>
            <w:shd w:fill="FFFFFF" w:val="clear"/>
          </w:tcPr>
          <w:p>
            <w:pPr>
              <w:spacing w:after="60" w:before="60" w:line="240"/>
            </w:pPr>
            <w:r>
              <w:rPr>
                <w:rFonts w:ascii="Arial" w:cs="Arial" w:eastAsia="Arial" w:hAnsi="Arial"/>
                <w:color w:val="334155"/>
                <w:sz w:val="20"/>
                <w:szCs w:val="20"/>
              </w:rPr>
              <w:t xml:space="preserve">3. Core Modules Staging &amp; Data Integration</w:t>
            </w:r>
          </w:p>
        </w:tc>
        <w:tc>
          <w:tcPr>
            <w:tcW w:type="pct" w:w="750"/>
            <w:shd w:fill="FFFFFF" w:val="clear"/>
          </w:tcPr>
          <w:p>
            <w:pPr>
              <w:spacing w:after="60" w:before="60" w:line="240"/>
            </w:pPr>
            <w:r>
              <w:rPr>
                <w:rFonts w:ascii="Arial" w:cs="Arial" w:eastAsia="Arial" w:hAnsi="Arial"/>
                <w:color w:val="334155"/>
                <w:sz w:val="20"/>
                <w:szCs w:val="20"/>
              </w:rPr>
              <w:t xml:space="preserve">25%</w:t>
            </w:r>
          </w:p>
        </w:tc>
        <w:tc>
          <w:tcPr>
            <w:tcW w:type="pct" w:w="2250"/>
            <w:shd w:fill="FFFFFF" w:val="clear"/>
          </w:tcPr>
          <w:p>
            <w:pPr>
              <w:spacing w:after="60" w:before="60" w:line="240"/>
            </w:pPr>
            <w:r>
              <w:rPr>
                <w:rFonts w:ascii="Arial" w:cs="Arial" w:eastAsia="Arial" w:hAnsi="Arial"/>
                <w:color w:val="334155"/>
                <w:sz w:val="20"/>
                <w:szCs w:val="20"/>
              </w:rPr>
              <w:t xml:space="preserve">Deployment of BPLO, Treasury, LCR, RHU, and Barangay portals in UAT Staging Environment.</w:t>
            </w:r>
          </w:p>
        </w:tc>
      </w:tr>
      <w:tr>
        <w:tc>
          <w:tcPr>
            <w:tcW w:type="pct" w:w="2000"/>
            <w:shd w:fill="F8FAFC" w:val="clear"/>
          </w:tcPr>
          <w:p>
            <w:pPr>
              <w:spacing w:after="60" w:before="60" w:line="240"/>
            </w:pPr>
            <w:r>
              <w:rPr>
                <w:rFonts w:ascii="Arial" w:cs="Arial" w:eastAsia="Arial" w:hAnsi="Arial"/>
                <w:color w:val="334155"/>
                <w:sz w:val="20"/>
                <w:szCs w:val="20"/>
              </w:rPr>
              <w:t xml:space="preserve">4. Testing, Security Hardening &amp; Staff Training</w:t>
            </w:r>
          </w:p>
        </w:tc>
        <w:tc>
          <w:tcPr>
            <w:tcW w:type="pct" w:w="750"/>
            <w:shd w:fill="F8FAFC" w:val="clear"/>
          </w:tcPr>
          <w:p>
            <w:pPr>
              <w:spacing w:after="60" w:before="60" w:line="240"/>
            </w:pPr>
            <w:r>
              <w:rPr>
                <w:rFonts w:ascii="Arial" w:cs="Arial" w:eastAsia="Arial" w:hAnsi="Arial"/>
                <w:color w:val="334155"/>
                <w:sz w:val="20"/>
                <w:szCs w:val="20"/>
              </w:rPr>
              <w:t xml:space="preserve">10%</w:t>
            </w:r>
          </w:p>
        </w:tc>
        <w:tc>
          <w:tcPr>
            <w:tcW w:type="pct" w:w="2250"/>
            <w:shd w:fill="F8FAFC" w:val="clear"/>
          </w:tcPr>
          <w:p>
            <w:pPr>
              <w:spacing w:after="60" w:before="60" w:line="240"/>
            </w:pPr>
            <w:r>
              <w:rPr>
                <w:rFonts w:ascii="Arial" w:cs="Arial" w:eastAsia="Arial" w:hAnsi="Arial"/>
                <w:color w:val="334155"/>
                <w:sz w:val="20"/>
                <w:szCs w:val="20"/>
              </w:rPr>
              <w:t xml:space="preserve">Completion of User Acceptance Testing (UAT), security compliance audit, and staff training.</w:t>
            </w:r>
          </w:p>
        </w:tc>
      </w:tr>
      <w:tr>
        <w:tc>
          <w:tcPr>
            <w:tcW w:type="pct" w:w="2000"/>
            <w:shd w:fill="FFFFFF" w:val="clear"/>
          </w:tcPr>
          <w:p>
            <w:pPr>
              <w:spacing w:after="60" w:before="60" w:line="240"/>
            </w:pPr>
            <w:r>
              <w:rPr>
                <w:rFonts w:ascii="Arial" w:cs="Arial" w:eastAsia="Arial" w:hAnsi="Arial"/>
                <w:color w:val="334155"/>
                <w:sz w:val="20"/>
                <w:szCs w:val="20"/>
              </w:rPr>
              <w:t xml:space="preserve">5. Production Launch &amp; Final Turnover</w:t>
            </w:r>
          </w:p>
        </w:tc>
        <w:tc>
          <w:tcPr>
            <w:tcW w:type="pct" w:w="750"/>
            <w:shd w:fill="FFFFFF" w:val="clear"/>
          </w:tcPr>
          <w:p>
            <w:pPr>
              <w:spacing w:after="60" w:before="60" w:line="240"/>
            </w:pPr>
            <w:r>
              <w:rPr>
                <w:rFonts w:ascii="Arial" w:cs="Arial" w:eastAsia="Arial" w:hAnsi="Arial"/>
                <w:color w:val="334155"/>
                <w:sz w:val="20"/>
                <w:szCs w:val="20"/>
              </w:rPr>
              <w:t xml:space="preserve">10%</w:t>
            </w:r>
          </w:p>
        </w:tc>
        <w:tc>
          <w:tcPr>
            <w:tcW w:type="pct" w:w="2250"/>
            <w:shd w:fill="FFFFFF" w:val="clear"/>
          </w:tcPr>
          <w:p>
            <w:pPr>
              <w:spacing w:after="60" w:before="60" w:line="240"/>
            </w:pPr>
            <w:r>
              <w:rPr>
                <w:rFonts w:ascii="Arial" w:cs="Arial" w:eastAsia="Arial" w:hAnsi="Arial"/>
                <w:color w:val="334155"/>
                <w:sz w:val="20"/>
                <w:szCs w:val="20"/>
              </w:rPr>
              <w:t xml:space="preserve">Official live deployment, complete system documentation turnover, and final acceptance.</w:t>
            </w:r>
          </w:p>
        </w:tc>
      </w:tr>
    </w:tbl>
    <w:p>
      <w:pPr>
        <w:spacing w:after="120" w:before="240"/>
      </w:pPr>
    </w:p>
    <w:p>
      <w:pPr>
        <w:pStyle w:val="Heading1"/>
        <w:keepNext/>
        <w:spacing w:after="180" w:before="360"/>
      </w:pPr>
      <w:r>
        <w:rPr>
          <w:rFonts w:ascii="Arial" w:cs="Arial" w:eastAsia="Arial" w:hAnsi="Arial"/>
          <w:b/>
          <w:bCs/>
          <w:color w:val="0038A8"/>
          <w:sz w:val="28"/>
          <w:szCs w:val="28"/>
        </w:rPr>
        <w:t xml:space="preserve">13. Security, Privacy, Governance, and Integration Assumptions</w:t>
      </w:r>
    </w:p>
    <w:p>
      <w:pPr>
        <w:spacing w:after="120" w:before="60" w:line="276"/>
      </w:pPr>
      <w:r>
        <w:rPr>
          <w:rFonts w:ascii="Arial" w:cs="Arial" w:eastAsia="Arial" w:hAnsi="Arial"/>
          <w:b w:val="false"/>
          <w:bCs w:val="false"/>
          <w:color w:val="334155"/>
          <w:sz w:val="21"/>
          <w:szCs w:val="21"/>
        </w:rPr>
        <w:t xml:space="preserve">The platform enforces enterprise-grade cybersecurity controls and data privacy governance:</w:t>
      </w:r>
    </w:p>
    <w:p>
      <w:pPr>
        <w:pStyle w:val="ListParagraph"/>
        <w:numPr>
          <w:ilvl w:val="0"/>
          <w:numId w:val="1"/>
        </w:numPr>
        <w:spacing w:after="60" w:before="40" w:line="260"/>
      </w:pPr>
      <w:r>
        <w:rPr>
          <w:rFonts w:ascii="Arial" w:cs="Arial" w:eastAsia="Arial" w:hAnsi="Arial"/>
          <w:b/>
          <w:bCs/>
          <w:color w:val="1E293B"/>
          <w:sz w:val="21"/>
          <w:szCs w:val="21"/>
        </w:rPr>
        <w:t xml:space="preserve">Security Controls: </w:t>
      </w:r>
      <w:r>
        <w:rPr>
          <w:rFonts w:ascii="Arial" w:cs="Arial" w:eastAsia="Arial" w:hAnsi="Arial"/>
          <w:color w:val="334155"/>
          <w:sz w:val="21"/>
          <w:szCs w:val="21"/>
        </w:rPr>
        <w:t xml:space="preserve">AES-256 Encryption at Rest, TLS 1.3 Encryption in Transit, Web Application Firewall (WAF), and automated vulnerability assessments.</w:t>
      </w:r>
    </w:p>
    <w:p>
      <w:pPr>
        <w:pStyle w:val="ListParagraph"/>
        <w:numPr>
          <w:ilvl w:val="0"/>
          <w:numId w:val="1"/>
        </w:numPr>
        <w:spacing w:after="60" w:before="40" w:line="260"/>
      </w:pPr>
      <w:r>
        <w:rPr>
          <w:rFonts w:ascii="Arial" w:cs="Arial" w:eastAsia="Arial" w:hAnsi="Arial"/>
          <w:b/>
          <w:bCs/>
          <w:color w:val="1E293B"/>
          <w:sz w:val="21"/>
          <w:szCs w:val="21"/>
        </w:rPr>
        <w:t xml:space="preserve">Role-Based Access Control (RBAC): </w:t>
      </w:r>
      <w:r>
        <w:rPr>
          <w:rFonts w:ascii="Arial" w:cs="Arial" w:eastAsia="Arial" w:hAnsi="Arial"/>
          <w:color w:val="334155"/>
          <w:sz w:val="21"/>
          <w:szCs w:val="21"/>
        </w:rPr>
        <w:t xml:space="preserve">Granular permission sets restricting staff access strictly to authorized departmental functions.</w:t>
      </w:r>
    </w:p>
    <w:p>
      <w:pPr>
        <w:pStyle w:val="ListParagraph"/>
        <w:numPr>
          <w:ilvl w:val="0"/>
          <w:numId w:val="1"/>
        </w:numPr>
        <w:spacing w:after="60" w:before="40" w:line="260"/>
      </w:pPr>
      <w:r>
        <w:rPr>
          <w:rFonts w:ascii="Arial" w:cs="Arial" w:eastAsia="Arial" w:hAnsi="Arial"/>
          <w:b/>
          <w:bCs/>
          <w:color w:val="1E293B"/>
          <w:sz w:val="21"/>
          <w:szCs w:val="21"/>
        </w:rPr>
        <w:t xml:space="preserve">Data Ownership: </w:t>
      </w:r>
      <w:r>
        <w:rPr>
          <w:rFonts w:ascii="Arial" w:cs="Arial" w:eastAsia="Arial" w:hAnsi="Arial"/>
          <w:color w:val="334155"/>
          <w:sz w:val="21"/>
          <w:szCs w:val="21"/>
        </w:rPr>
        <w:t xml:space="preserve">100% of all system data remains the exclusive property of the Municipal Government of Balungao. No third-party data monetization.</w:t>
      </w:r>
    </w:p>
    <w:p>
      <w:pPr>
        <w:pStyle w:val="ListParagraph"/>
        <w:numPr>
          <w:ilvl w:val="0"/>
          <w:numId w:val="1"/>
        </w:numPr>
        <w:spacing w:after="60" w:before="40" w:line="260"/>
      </w:pPr>
      <w:r>
        <w:rPr>
          <w:rFonts w:ascii="Arial" w:cs="Arial" w:eastAsia="Arial" w:hAnsi="Arial"/>
          <w:b/>
          <w:bCs/>
          <w:color w:val="1E293B"/>
          <w:sz w:val="21"/>
          <w:szCs w:val="21"/>
        </w:rPr>
        <w:t xml:space="preserve">Cloud Hosting &amp; SLA: </w:t>
      </w:r>
      <w:r>
        <w:rPr>
          <w:rFonts w:ascii="Arial" w:cs="Arial" w:eastAsia="Arial" w:hAnsi="Arial"/>
          <w:color w:val="334155"/>
          <w:sz w:val="21"/>
          <w:szCs w:val="21"/>
        </w:rPr>
        <w:t xml:space="preserve">Hosted on secure AWS / Google Cloud Infrastructure providing 99.9% uptime SLA with automated daily off-site backups.</w:t>
      </w:r>
    </w:p>
    <w:p>
      <w:pPr>
        <w:pStyle w:val="Heading1"/>
        <w:keepNext/>
        <w:spacing w:after="180" w:before="360"/>
      </w:pPr>
      <w:r>
        <w:rPr>
          <w:rFonts w:ascii="Arial" w:cs="Arial" w:eastAsia="Arial" w:hAnsi="Arial"/>
          <w:b/>
          <w:bCs/>
          <w:color w:val="0038A8"/>
          <w:sz w:val="28"/>
          <w:szCs w:val="28"/>
        </w:rPr>
        <w:t xml:space="preserve">14. Closing Recommendation</w:t>
      </w:r>
    </w:p>
    <w:p>
      <w:pPr>
        <w:spacing w:after="120" w:before="60" w:line="276"/>
      </w:pPr>
      <w:r>
        <w:rPr>
          <w:rFonts w:ascii="Arial" w:cs="Arial" w:eastAsia="Arial" w:hAnsi="Arial"/>
          <w:b w:val="false"/>
          <w:bCs w:val="false"/>
          <w:color w:val="334155"/>
          <w:sz w:val="21"/>
          <w:szCs w:val="21"/>
        </w:rPr>
        <w:t xml:space="preserve">The E-Balungao Digital Services Hub is far more than a public website; it is an intelligent digital operating system for the Municipal Government of Balungao. Implementation delivers three fundamental pillars:</w:t>
      </w:r>
    </w:p>
    <w:p>
      <w:pPr>
        <w:pStyle w:val="ListParagraph"/>
        <w:numPr>
          <w:ilvl w:val="0"/>
          <w:numId w:val="1"/>
        </w:numPr>
        <w:spacing w:after="60" w:before="40" w:line="260"/>
      </w:pPr>
      <w:r>
        <w:rPr>
          <w:rFonts w:ascii="Arial" w:cs="Arial" w:eastAsia="Arial" w:hAnsi="Arial"/>
          <w:b/>
          <w:bCs/>
          <w:color w:val="1E293B"/>
          <w:sz w:val="21"/>
          <w:szCs w:val="21"/>
        </w:rPr>
        <w:t xml:space="preserve">1. Transparent &amp; Rapid Public Service: </w:t>
      </w:r>
      <w:r>
        <w:rPr>
          <w:rFonts w:ascii="Arial" w:cs="Arial" w:eastAsia="Arial" w:hAnsi="Arial"/>
          <w:color w:val="334155"/>
          <w:sz w:val="21"/>
          <w:szCs w:val="21"/>
        </w:rPr>
        <w:t xml:space="preserve">Complete alignment with RA 11032 for frictionless permit issuance and service delivery.</w:t>
      </w:r>
    </w:p>
    <w:p>
      <w:pPr>
        <w:pStyle w:val="ListParagraph"/>
        <w:numPr>
          <w:ilvl w:val="0"/>
          <w:numId w:val="1"/>
        </w:numPr>
        <w:spacing w:after="60" w:before="40" w:line="260"/>
      </w:pPr>
      <w:r>
        <w:rPr>
          <w:rFonts w:ascii="Arial" w:cs="Arial" w:eastAsia="Arial" w:hAnsi="Arial"/>
          <w:b/>
          <w:bCs/>
          <w:color w:val="1E293B"/>
          <w:sz w:val="21"/>
          <w:szCs w:val="21"/>
        </w:rPr>
        <w:t xml:space="preserve">2. Empowered 20-Barangay Network: </w:t>
      </w:r>
      <w:r>
        <w:rPr>
          <w:rFonts w:ascii="Arial" w:cs="Arial" w:eastAsia="Arial" w:hAnsi="Arial"/>
          <w:color w:val="334155"/>
          <w:sz w:val="21"/>
          <w:szCs w:val="21"/>
        </w:rPr>
        <w:t xml:space="preserve">Direct digital synchronization between the Municipal Mayor and all 20 Barangay Captains.</w:t>
      </w:r>
    </w:p>
    <w:p>
      <w:pPr>
        <w:pStyle w:val="ListParagraph"/>
        <w:numPr>
          <w:ilvl w:val="0"/>
          <w:numId w:val="1"/>
        </w:numPr>
        <w:spacing w:after="60" w:before="40" w:line="260"/>
      </w:pPr>
      <w:r>
        <w:rPr>
          <w:rFonts w:ascii="Arial" w:cs="Arial" w:eastAsia="Arial" w:hAnsi="Arial"/>
          <w:b/>
          <w:bCs/>
          <w:color w:val="1E293B"/>
          <w:sz w:val="21"/>
          <w:szCs w:val="21"/>
        </w:rPr>
        <w:t xml:space="preserve">3. Economic Growth &amp; Tourism Expansion: </w:t>
      </w:r>
      <w:r>
        <w:rPr>
          <w:rFonts w:ascii="Arial" w:cs="Arial" w:eastAsia="Arial" w:hAnsi="Arial"/>
          <w:color w:val="334155"/>
          <w:sz w:val="21"/>
          <w:szCs w:val="21"/>
        </w:rPr>
        <w:t xml:space="preserve">Enhanced local revenue capture and digitized tourist experience for Mt. Balungao attractions.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038A8" w:sz="24"/>
              <w:bottom w:val="none"/>
              <w:right w:val="none"/>
            </w:tcBorders>
            <w:shd w:fill="F0F4FF" w:val="clear"/>
          </w:tcPr>
          <w:p>
            <w:pPr>
              <w:spacing w:after="40" w:before="80"/>
            </w:pPr>
            <w:r>
              <w:rPr>
                <w:rFonts w:ascii="Arial" w:cs="Arial" w:eastAsia="Arial" w:hAnsi="Arial"/>
                <w:b/>
                <w:bCs/>
                <w:color w:val="0038A8"/>
                <w:sz w:val="22"/>
                <w:szCs w:val="22"/>
              </w:rPr>
              <w:t xml:space="preserve">CLOSING POSITION</w:t>
            </w:r>
          </w:p>
          <w:p>
            <w:pPr>
              <w:spacing w:after="80" w:before="0" w:line="260"/>
            </w:pPr>
            <w:r>
              <w:rPr>
                <w:rFonts w:ascii="Arial" w:cs="Arial" w:eastAsia="Arial" w:hAnsi="Arial"/>
                <w:color w:val="334155"/>
                <w:sz w:val="20"/>
                <w:szCs w:val="20"/>
              </w:rPr>
              <w:t xml:space="preserve">A Smart Municipality is defined not by superficial web presence, but by the seamless digital integration of citizen transactions, barangay reports, business licensing, and executive decision-making on a secure, unified platform. This is the definitive value proposition delivered by the E-Balungao App &amp; Smart Municipality Platform.</w:t>
            </w:r>
          </w:p>
        </w:tc>
      </w:tr>
    </w:tbl>
    <w:p>
      <w:pPr>
        <w:spacing w:after="120" w:before="240"/>
      </w:pPr>
    </w:p>
    <w:p>
      <w:pPr>
        <w:pStyle w:val="Heading1"/>
        <w:keepNext/>
        <w:spacing w:after="180" w:before="360"/>
      </w:pPr>
      <w:r>
        <w:rPr>
          <w:rFonts w:ascii="Arial" w:cs="Arial" w:eastAsia="Arial" w:hAnsi="Arial"/>
          <w:b/>
          <w:bCs/>
          <w:color w:val="0038A8"/>
          <w:sz w:val="28"/>
          <w:szCs w:val="28"/>
        </w:rPr>
        <w:t xml:space="preserve">15. References and Basis of Proposal</w:t>
      </w:r>
    </w:p>
    <w:p>
      <w:pPr>
        <w:spacing w:after="120" w:before="60" w:line="276"/>
      </w:pPr>
      <w:r>
        <w:rPr>
          <w:rFonts w:ascii="Arial" w:cs="Arial" w:eastAsia="Arial" w:hAnsi="Arial"/>
          <w:b w:val="false"/>
          <w:bCs w:val="false"/>
          <w:color w:val="334155"/>
          <w:sz w:val="21"/>
          <w:szCs w:val="21"/>
        </w:rPr>
        <w:t xml:space="preserve">This proposal is governed by and adheres to the following national statutes, executive mandates, and technical frameworks:</w:t>
      </w:r>
    </w:p>
    <w:p>
      <w:pPr>
        <w:pStyle w:val="ListParagraph"/>
        <w:numPr>
          <w:ilvl w:val="0"/>
          <w:numId w:val="1"/>
        </w:numPr>
        <w:spacing w:after="60" w:before="40" w:line="260"/>
      </w:pPr>
      <w:r>
        <w:rPr>
          <w:rFonts w:ascii="Arial" w:cs="Arial" w:eastAsia="Arial" w:hAnsi="Arial"/>
          <w:b/>
          <w:bCs/>
          <w:color w:val="1E293B"/>
          <w:sz w:val="21"/>
          <w:szCs w:val="21"/>
        </w:rPr>
        <w:t xml:space="preserve">1. Republic Act No. 11032: </w:t>
      </w:r>
      <w:r>
        <w:rPr>
          <w:rFonts w:ascii="Arial" w:cs="Arial" w:eastAsia="Arial" w:hAnsi="Arial"/>
          <w:color w:val="334155"/>
          <w:sz w:val="21"/>
          <w:szCs w:val="21"/>
        </w:rPr>
        <w:t xml:space="preserve">Ease of Doing Business and Efficient Government Service Delivery Act of 2018.</w:t>
      </w:r>
    </w:p>
    <w:p>
      <w:pPr>
        <w:pStyle w:val="ListParagraph"/>
        <w:numPr>
          <w:ilvl w:val="0"/>
          <w:numId w:val="1"/>
        </w:numPr>
        <w:spacing w:after="60" w:before="40" w:line="260"/>
      </w:pPr>
      <w:r>
        <w:rPr>
          <w:rFonts w:ascii="Arial" w:cs="Arial" w:eastAsia="Arial" w:hAnsi="Arial"/>
          <w:b/>
          <w:bCs/>
          <w:color w:val="1E293B"/>
          <w:sz w:val="21"/>
          <w:szCs w:val="21"/>
        </w:rPr>
        <w:t xml:space="preserve">2. Republic Act No. 10173: </w:t>
      </w:r>
      <w:r>
        <w:rPr>
          <w:rFonts w:ascii="Arial" w:cs="Arial" w:eastAsia="Arial" w:hAnsi="Arial"/>
          <w:color w:val="334155"/>
          <w:sz w:val="21"/>
          <w:szCs w:val="21"/>
        </w:rPr>
        <w:t xml:space="preserve">Data Privacy Act of 2012 and National Privacy Commission (NPC) Circulars.</w:t>
      </w:r>
    </w:p>
    <w:p>
      <w:pPr>
        <w:pStyle w:val="ListParagraph"/>
        <w:numPr>
          <w:ilvl w:val="0"/>
          <w:numId w:val="1"/>
        </w:numPr>
        <w:spacing w:after="60" w:before="40" w:line="260"/>
      </w:pPr>
      <w:r>
        <w:rPr>
          <w:rFonts w:ascii="Arial" w:cs="Arial" w:eastAsia="Arial" w:hAnsi="Arial"/>
          <w:b/>
          <w:bCs/>
          <w:color w:val="1E293B"/>
          <w:sz w:val="21"/>
          <w:szCs w:val="21"/>
        </w:rPr>
        <w:t xml:space="preserve">3. Executive Order No. 170, s. 2022: </w:t>
      </w:r>
      <w:r>
        <w:rPr>
          <w:rFonts w:ascii="Arial" w:cs="Arial" w:eastAsia="Arial" w:hAnsi="Arial"/>
          <w:color w:val="334155"/>
          <w:sz w:val="21"/>
          <w:szCs w:val="21"/>
        </w:rPr>
        <w:t xml:space="preserve">Adoption of Digital Payments for Government Disbursements and Collections.</w:t>
      </w:r>
    </w:p>
    <w:p>
      <w:pPr>
        <w:pStyle w:val="ListParagraph"/>
        <w:numPr>
          <w:ilvl w:val="0"/>
          <w:numId w:val="1"/>
        </w:numPr>
        <w:spacing w:after="60" w:before="40" w:line="260"/>
      </w:pPr>
      <w:r>
        <w:rPr>
          <w:rFonts w:ascii="Arial" w:cs="Arial" w:eastAsia="Arial" w:hAnsi="Arial"/>
          <w:b/>
          <w:bCs/>
          <w:color w:val="1E293B"/>
          <w:sz w:val="21"/>
          <w:szCs w:val="21"/>
        </w:rPr>
        <w:t xml:space="preserve">4. Republic Act No. 7160: </w:t>
      </w:r>
      <w:r>
        <w:rPr>
          <w:rFonts w:ascii="Arial" w:cs="Arial" w:eastAsia="Arial" w:hAnsi="Arial"/>
          <w:color w:val="334155"/>
          <w:sz w:val="21"/>
          <w:szCs w:val="21"/>
        </w:rPr>
        <w:t xml:space="preserve">Local Government Code of 1991.</w:t>
      </w:r>
    </w:p>
    <w:p>
      <w:pPr>
        <w:pStyle w:val="ListParagraph"/>
        <w:numPr>
          <w:ilvl w:val="0"/>
          <w:numId w:val="1"/>
        </w:numPr>
        <w:spacing w:after="60" w:before="40" w:line="260"/>
      </w:pPr>
      <w:r>
        <w:rPr>
          <w:rFonts w:ascii="Arial" w:cs="Arial" w:eastAsia="Arial" w:hAnsi="Arial"/>
          <w:b/>
          <w:bCs/>
          <w:color w:val="1E293B"/>
          <w:sz w:val="21"/>
          <w:szCs w:val="21"/>
        </w:rPr>
        <w:t xml:space="preserve">5. DICT E-Governance Masterplan 2022-2028: </w:t>
      </w:r>
      <w:r>
        <w:rPr>
          <w:rFonts w:ascii="Arial" w:cs="Arial" w:eastAsia="Arial" w:hAnsi="Arial"/>
          <w:color w:val="334155"/>
          <w:sz w:val="21"/>
          <w:szCs w:val="21"/>
        </w:rPr>
        <w:t xml:space="preserve">Department of Information and Communications Technology Standards.</w:t>
      </w:r>
    </w:p>
    <w:p>
      <w:pPr>
        <w:pStyle w:val="ListParagraph"/>
        <w:numPr>
          <w:ilvl w:val="0"/>
          <w:numId w:val="1"/>
        </w:numPr>
        <w:spacing w:after="60" w:before="40" w:line="260"/>
      </w:pPr>
      <w:r>
        <w:rPr>
          <w:rFonts w:ascii="Arial" w:cs="Arial" w:eastAsia="Arial" w:hAnsi="Arial"/>
          <w:b/>
          <w:bCs/>
          <w:color w:val="1E293B"/>
          <w:sz w:val="21"/>
          <w:szCs w:val="21"/>
        </w:rPr>
        <w:t xml:space="preserve">6. ISO/IEC 27001: </w:t>
      </w:r>
      <w:r>
        <w:rPr>
          <w:rFonts w:ascii="Arial" w:cs="Arial" w:eastAsia="Arial" w:hAnsi="Arial"/>
          <w:color w:val="334155"/>
          <w:sz w:val="21"/>
          <w:szCs w:val="21"/>
        </w:rPr>
        <w:t xml:space="preserve">Information Security Management System Guidelines.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2026-10-09T04:00:36.968Z</dcterms:created>
  <dcterms:modified xsi:type="dcterms:W3CDTF">2026-10-09T04:00:36.969Z</dcterms:modified>
</cp:coreProperties>
</file>

<file path=docProps/custom.xml><?xml version="1.0" encoding="utf-8"?>
<Properties xmlns="http://schemas.openxmlformats.org/officeDocument/2006/custom-properties" xmlns:vt="http://schemas.openxmlformats.org/officeDocument/2006/docPropsVTypes"/>
</file>