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0038A8"/>
          <w:sz w:val="36"/>
          <w:szCs w:val="36"/>
        </w:rPr>
        <w:t xml:space="preserve">FORMAL WEBSITE PROPOSAL &amp; STATEMENT OF WORK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e-Balungao Digital Services Hub &amp; Smart Governance Website Platform
(A unified, multi-department municipal service website that connects residents, 20 barangays, local businesses, and municipal offices through one trusted digital front door)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pct" w:w="1750"/>
            <w:shd w:fill="0038A8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CONTROL METADATA</w:t>
            </w:r>
          </w:p>
        </w:tc>
        <w:tc>
          <w:tcPr>
            <w:tcW w:type="pct" w:w="3250"/>
            <w:shd w:fill="0038A8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pct" w:w="175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PREPARED FOR</w:t>
            </w:r>
          </w:p>
        </w:tc>
        <w:tc>
          <w:tcPr>
            <w:tcW w:type="pct" w:w="325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Municipality of Balungao, Province of Pangasinan</w:t>
            </w:r>
          </w:p>
        </w:tc>
      </w:tr>
      <w:tr>
        <w:tc>
          <w:tcPr>
            <w:tcW w:type="pct" w:w="175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PREPARED BY</w:t>
            </w:r>
          </w:p>
        </w:tc>
        <w:tc>
          <w:tcPr>
            <w:tcW w:type="pct" w:w="325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Vertex Technologies Corporation</w:t>
            </w:r>
          </w:p>
        </w:tc>
      </w:tr>
      <w:tr>
        <w:tc>
          <w:tcPr>
            <w:tcW w:type="pct" w:w="175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DOCUMENT VERSION</w:t>
            </w:r>
          </w:p>
        </w:tc>
        <w:tc>
          <w:tcPr>
            <w:tcW w:type="pct" w:w="325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1.0 – Current System Scope and Capability Report</w:t>
            </w:r>
          </w:p>
        </w:tc>
      </w:tr>
      <w:tr>
        <w:tc>
          <w:tcPr>
            <w:tcW w:type="pct" w:w="175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DATE</w:t>
            </w:r>
          </w:p>
        </w:tc>
        <w:tc>
          <w:tcPr>
            <w:tcW w:type="pct" w:w="325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October 10, 2026</w:t>
            </w:r>
          </w:p>
        </w:tc>
      </w:tr>
      <w:tr>
        <w:tc>
          <w:tcPr>
            <w:tcW w:type="pct" w:w="175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CONFIDENTIALITY</w:t>
            </w:r>
          </w:p>
        </w:tc>
        <w:tc>
          <w:tcPr>
            <w:tcW w:type="pct" w:w="325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This document contains proprietary business, technical, and commercial information intended for executive discussion only.</w:t>
            </w:r>
          </w:p>
        </w:tc>
      </w:tr>
    </w:tbl>
    <w:p>
      <w:pPr>
        <w:spacing w:after="120" w:before="18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0038A8" w:sz="24"/>
              <w:bottom w:val="none"/>
              <w:right w:val="none"/>
            </w:tcBorders>
            <w:shd w:fill="F0F4FF" w:val="clea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038A8"/>
                <w:sz w:val="21"/>
                <w:szCs w:val="21"/>
              </w:rPr>
              <w:t xml:space="preserve">STRATEGIC PREMISE</w:t>
            </w:r>
          </w:p>
          <w:p>
            <w:pPr>
              <w:spacing w:after="80" w:before="0" w:line="26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This proposal covers the e-BALUNGAO website platform. It is not positioned as a simple informational website, but as municipal digital infrastructure that connects residents, barangays, departments, services, and executive decision-making into one trusted operating layer.</w:t>
            </w:r>
          </w:p>
        </w:tc>
      </w:tr>
    </w:tbl>
    <w:p>
      <w:pPr>
        <w:spacing w:after="120" w:before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0038A8" w:sz="24"/>
              <w:bottom w:val="none"/>
              <w:right w:val="none"/>
            </w:tcBorders>
            <w:shd w:fill="F0F4FF" w:val="clea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038A8"/>
                <w:sz w:val="21"/>
                <w:szCs w:val="21"/>
              </w:rPr>
              <w:t xml:space="preserve">SCOPE BOUNDARY NOTE</w:t>
            </w:r>
          </w:p>
          <w:p>
            <w:pPr>
              <w:spacing w:after="80" w:before="0" w:line="26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This proposal covers the e-BALUNGAO website platform only. Kiosks, the mobile applications, and HR and payroll systems are separate undertakings and are covered by separate proposals. Platform capabilities in this document are described at a summary level. Detailed technical specifications, workflows, and configurations are proprietary to Vertex Technologies Corporation.</w:t>
            </w:r>
          </w:p>
        </w:tc>
      </w:tr>
    </w:tbl>
    <w:p>
      <w:pPr>
        <w:spacing w:after="120" w:before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0038A8"/>
          <w:sz w:val="26"/>
          <w:szCs w:val="26"/>
        </w:rPr>
        <w:t xml:space="preserve">1. Executive Investment Summary and Project Intent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The Municipality of Balungao, Pangasinan, a 4th class municipality with 20 barangays and an estimated population of 30,000, has a strong opportunity to become a leading eGovernance municipality in Eastern Pangasinan through the implementation of the e-BALUNGAO Digital Services Hub.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This proposal covers the deployment of a unified, multi-department, mobile-responsive public service website that connects the 20 barangays, residents, local businesses, and the offices of the Municipal Government of Balungao.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The website platform is already developed and ready for deployment. It is not a simple informational website; it provides a complete operating layer for municipal service delivery, summarized below. Requirements specific to each municipal department will be confirmed with the respective offices before implementation.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Visual 1. The E-BALUNGAO Digital Services Hub Core Capabilities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pct" w:w="1750"/>
            <w:shd w:fill="0038A8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Capability</w:t>
            </w:r>
          </w:p>
        </w:tc>
        <w:tc>
          <w:tcPr>
            <w:tcW w:type="pct" w:w="3250"/>
            <w:shd w:fill="0038A8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the Platform Creates Value</w:t>
            </w:r>
          </w:p>
        </w:tc>
      </w:tr>
      <w:tr>
        <w:tc>
          <w:tcPr>
            <w:tcW w:type="pct" w:w="175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Verified Resident Identity</w:t>
            </w:r>
          </w:p>
        </w:tc>
        <w:tc>
          <w:tcPr>
            <w:tcW w:type="pct" w:w="325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 municipal citizen identification number and a digital QR-enabled resident ID.</w:t>
            </w:r>
          </w:p>
        </w:tc>
      </w:tr>
      <w:tr>
        <w:tc>
          <w:tcPr>
            <w:tcW w:type="pct" w:w="175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Online Municipal Services Counter</w:t>
            </w:r>
          </w:p>
        </w:tc>
        <w:tc>
          <w:tcPr>
            <w:tcW w:type="pct" w:w="325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Digital access to community tax certificates, business permits, civil registry services, and real property tax.</w:t>
            </w:r>
          </w:p>
        </w:tc>
      </w:tr>
      <w:tr>
        <w:tc>
          <w:tcPr>
            <w:tcW w:type="pct" w:w="175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Health Services</w:t>
            </w:r>
          </w:p>
        </w:tc>
        <w:tc>
          <w:tcPr>
            <w:tcW w:type="pct" w:w="325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Online appointment booking with the Rural Health Unit (RHU).</w:t>
            </w:r>
          </w:p>
        </w:tc>
      </w:tr>
      <w:tr>
        <w:tc>
          <w:tcPr>
            <w:tcW w:type="pct" w:w="175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Citizen Incident Reporting</w:t>
            </w:r>
          </w:p>
        </w:tc>
        <w:tc>
          <w:tcPr>
            <w:tcW w:type="pct" w:w="325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Geotagged community reports and hazard mapping for faster response.</w:t>
            </w:r>
          </w:p>
        </w:tc>
      </w:tr>
      <w:tr>
        <w:tc>
          <w:tcPr>
            <w:tcW w:type="pct" w:w="175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Decentralized Barangay Governance</w:t>
            </w:r>
          </w:p>
        </w:tc>
        <w:tc>
          <w:tcPr>
            <w:tcW w:type="pct" w:w="325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Dedicated access for all 20 barangays and a channel for the Mayor's official directives.</w:t>
            </w:r>
          </w:p>
        </w:tc>
      </w:tr>
      <w:tr>
        <w:tc>
          <w:tcPr>
            <w:tcW w:type="pct" w:w="175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Public Market Management</w:t>
            </w:r>
          </w:p>
        </w:tc>
        <w:tc>
          <w:tcPr>
            <w:tcW w:type="pct" w:w="325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Stall and vendor management supported by collector tools.</w:t>
            </w:r>
          </w:p>
        </w:tc>
      </w:tr>
      <w:tr>
        <w:tc>
          <w:tcPr>
            <w:tcW w:type="pct" w:w="175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LGU Courier Delivery</w:t>
            </w:r>
          </w:p>
        </w:tc>
        <w:tc>
          <w:tcPr>
            <w:tcW w:type="pct" w:w="325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Document delivery through an official LGU rider, with proof of delivery.</w:t>
            </w:r>
          </w:p>
        </w:tc>
      </w:tr>
      <w:tr>
        <w:tc>
          <w:tcPr>
            <w:tcW w:type="pct" w:w="175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Executive Command Center and Audit Logging</w:t>
            </w:r>
          </w:p>
        </w:tc>
        <w:tc>
          <w:tcPr>
            <w:tcW w:type="pct" w:w="325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Real-time leadership visibility with secure audit trails, designed in alignment with RA 10173.</w:t>
            </w:r>
          </w:p>
        </w:tc>
      </w:tr>
    </w:tbl>
    <w:p>
      <w:pPr>
        <w:spacing w:after="120" w:before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0038A8"/>
          <w:sz w:val="26"/>
          <w:szCs w:val="26"/>
        </w:rPr>
        <w:t xml:space="preserve">2. Policy Alignment and Legal Basis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Visual 2. How policy and legal requirements translate into platform capabilities.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159"/>
        <w:gridCol w:w="3159"/>
      </w:tblGrid>
      <w:tr>
        <w:tc>
          <w:tcPr>
            <w:tcW w:type="pct" w:w="1500"/>
            <w:shd w:fill="0038A8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Law / Directive</w:t>
            </w:r>
          </w:p>
        </w:tc>
        <w:tc>
          <w:tcPr>
            <w:tcW w:type="pct" w:w="1750"/>
            <w:shd w:fill="0038A8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 Intent</w:t>
            </w:r>
          </w:p>
        </w:tc>
        <w:tc>
          <w:tcPr>
            <w:tcW w:type="pct" w:w="1750"/>
            <w:shd w:fill="0038A8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in the E-BALUNGAO Platform</w:t>
            </w:r>
          </w:p>
        </w:tc>
      </w:tr>
      <w:tr>
        <w:tc>
          <w:tcPr>
            <w:tcW w:type="pct" w:w="15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PSA PSGC Profile of Balungao</w:t>
            </w:r>
          </w:p>
        </w:tc>
        <w:tc>
          <w:tcPr>
            <w:tcW w:type="pct" w:w="175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4th class municipality composed of 20 barangays.</w:t>
            </w:r>
          </w:p>
        </w:tc>
        <w:tc>
          <w:tcPr>
            <w:tcW w:type="pct" w:w="175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Localized barangay selection, mapping, and barangay-level analytics.</w:t>
            </w:r>
          </w:p>
        </w:tc>
      </w:tr>
      <w:tr>
        <w:tc>
          <w:tcPr>
            <w:tcW w:type="pct" w:w="15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RA 11032 (Ease of Doing Business Act)</w:t>
            </w:r>
          </w:p>
        </w:tc>
        <w:tc>
          <w:tcPr>
            <w:tcW w:type="pct" w:w="175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Requires LGUs to make services and permit applications faster and more transparent.</w:t>
            </w:r>
          </w:p>
        </w:tc>
        <w:tc>
          <w:tcPr>
            <w:tcW w:type="pct" w:w="175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Online applications, automated fee computation, status tracking, and digital QR-verified documents.</w:t>
            </w:r>
          </w:p>
        </w:tc>
      </w:tr>
      <w:tr>
        <w:tc>
          <w:tcPr>
            <w:tcW w:type="pct" w:w="15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RA 10173 (Data Privacy Act of 2012)</w:t>
            </w:r>
          </w:p>
        </w:tc>
        <w:tc>
          <w:tcPr>
            <w:tcW w:type="pct" w:w="175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Protects the personal information of citizens and requires accountability in data handling.</w:t>
            </w:r>
          </w:p>
        </w:tc>
        <w:tc>
          <w:tcPr>
            <w:tcW w:type="pct" w:w="175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Role-based access control, end-to-end audit logs, and encrypted user credentials.</w:t>
            </w:r>
          </w:p>
        </w:tc>
      </w:tr>
      <w:tr>
        <w:tc>
          <w:tcPr>
            <w:tcW w:type="pct" w:w="15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DICT eGov / eLGU Direction</w:t>
            </w:r>
          </w:p>
        </w:tc>
        <w:tc>
          <w:tcPr>
            <w:tcW w:type="pct" w:w="175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National goal of an integrated digital government portal for every LGU.</w:t>
            </w:r>
          </w:p>
        </w:tc>
        <w:tc>
          <w:tcPr>
            <w:tcW w:type="pct" w:w="175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Standardized digital counter concept and readiness for open API integration.</w:t>
            </w:r>
          </w:p>
        </w:tc>
      </w:tr>
    </w:tbl>
    <w:p>
      <w:pPr>
        <w:spacing w:after="120" w:before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0038A8"/>
          <w:sz w:val="26"/>
          <w:szCs w:val="26"/>
        </w:rPr>
        <w:t xml:space="preserve">3. Platform Capability Overview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The website platform is organized into 18 connected modules. Each module delivers a practical public service and, at the same time, generates structured data for planning, prioritization, and accountability.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Visual 3. The 18 Connected Modules of the E-BALUNGAO Website Platform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791"/>
        <w:gridCol w:w="2708"/>
      </w:tblGrid>
      <w:tr>
        <w:tc>
          <w:tcPr>
            <w:tcW w:type="pct" w:w="1400"/>
            <w:shd w:fill="0038A8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2100"/>
            <w:shd w:fill="0038A8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 Overview</w:t>
            </w:r>
          </w:p>
        </w:tc>
        <w:tc>
          <w:tcPr>
            <w:tcW w:type="pct" w:w="1500"/>
            <w:shd w:fill="0038A8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Governance Value</w:t>
            </w:r>
          </w:p>
        </w:tc>
      </w:tr>
      <w:tr>
        <w:tc>
          <w:tcPr>
            <w:tcW w:type="pct" w:w="14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Authentication and Access Control</w:t>
            </w:r>
          </w:p>
        </w:tc>
        <w:tc>
          <w:tcPr>
            <w:tcW w:type="pct" w:w="21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Secure sign-in with role-based access for residents, department staff, barangay officials, and executives.</w:t>
            </w:r>
          </w:p>
        </w:tc>
        <w:tc>
          <w:tcPr>
            <w:tcW w:type="pct" w:w="15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Protects sensitive records and limits each user to the information their role requires.</w:t>
            </w:r>
          </w:p>
        </w:tc>
      </w:tr>
      <w:tr>
        <w:tc>
          <w:tcPr>
            <w:tcW w:type="pct" w:w="14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Resident Profile and Municipal CIN</w:t>
            </w:r>
          </w:p>
        </w:tc>
        <w:tc>
          <w:tcPr>
            <w:tcW w:type="pct" w:w="21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Digital resident registration, household and sectoral records, identity verification, and a single citizen identification number.</w:t>
            </w:r>
          </w:p>
        </w:tc>
        <w:tc>
          <w:tcPr>
            <w:tcW w:type="pct" w:w="15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Gives the municipality one reusable, verified record for every transaction.</w:t>
            </w:r>
          </w:p>
        </w:tc>
      </w:tr>
      <w:tr>
        <w:tc>
          <w:tcPr>
            <w:tcW w:type="pct" w:w="14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3. Digital Resident ID</w:t>
            </w:r>
          </w:p>
        </w:tc>
        <w:tc>
          <w:tcPr>
            <w:tcW w:type="pct" w:w="21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QR-enabled digital ID with fast verification at municipal counters.</w:t>
            </w:r>
          </w:p>
        </w:tc>
        <w:tc>
          <w:tcPr>
            <w:tcW w:type="pct" w:w="15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Speeds up counter service and removes repeated form-filling.</w:t>
            </w:r>
          </w:p>
        </w:tc>
      </w:tr>
      <w:tr>
        <w:tc>
          <w:tcPr>
            <w:tcW w:type="pct" w:w="14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4. Municipal Services Portal</w:t>
            </w:r>
          </w:p>
        </w:tc>
        <w:tc>
          <w:tcPr>
            <w:tcW w:type="pct" w:w="21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One online catalog of services with requirements, fees, processing times, online applications, document uploads, and real-time status tracking.</w:t>
            </w:r>
          </w:p>
        </w:tc>
        <w:tc>
          <w:tcPr>
            <w:tcW w:type="pct" w:w="15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Creates a single, searchable digital counter for all services.</w:t>
            </w:r>
          </w:p>
        </w:tc>
      </w:tr>
      <w:tr>
        <w:tc>
          <w:tcPr>
            <w:tcW w:type="pct" w:w="14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5. Community Tax Certificate (Cedula)</w:t>
            </w:r>
          </w:p>
        </w:tc>
        <w:tc>
          <w:tcPr>
            <w:tcW w:type="pct" w:w="21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Online application with automated computation and digital certificate issuance.</w:t>
            </w:r>
          </w:p>
        </w:tc>
        <w:tc>
          <w:tcPr>
            <w:tcW w:type="pct" w:w="15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Reduces queues and improves accuracy of tax and fee computation.</w:t>
            </w:r>
          </w:p>
        </w:tc>
      </w:tr>
      <w:tr>
        <w:tc>
          <w:tcPr>
            <w:tcW w:type="pct" w:w="14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6. Business Permits and Licensing</w:t>
            </w:r>
          </w:p>
        </w:tc>
        <w:tc>
          <w:tcPr>
            <w:tcW w:type="pct" w:w="21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Online new and renewal applications, multi-department clearance monitoring, appointment scheduling, and digital permit issuance.</w:t>
            </w:r>
          </w:p>
        </w:tc>
        <w:tc>
          <w:tcPr>
            <w:tcW w:type="pct" w:w="15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Shortens permit processing and improves visibility of the local business sector.</w:t>
            </w:r>
          </w:p>
        </w:tc>
      </w:tr>
      <w:tr>
        <w:tc>
          <w:tcPr>
            <w:tcW w:type="pct" w:w="14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7. Building and Engineering Permits</w:t>
            </w:r>
          </w:p>
        </w:tc>
        <w:tc>
          <w:tcPr>
            <w:tcW w:type="pct" w:w="21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Online application and review workflow for building-related permits.</w:t>
            </w:r>
          </w:p>
        </w:tc>
        <w:tc>
          <w:tcPr>
            <w:tcW w:type="pct" w:w="15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Brings engineering approvals into one trackable process.</w:t>
            </w:r>
          </w:p>
        </w:tc>
      </w:tr>
      <w:tr>
        <w:tc>
          <w:tcPr>
            <w:tcW w:type="pct" w:w="14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8. Local Civil Registry</w:t>
            </w:r>
          </w:p>
        </w:tc>
        <w:tc>
          <w:tcPr>
            <w:tcW w:type="pct" w:w="21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Online requests and registration support for civil registry documents, with verifiable digital copies.</w:t>
            </w:r>
          </w:p>
        </w:tc>
        <w:tc>
          <w:tcPr>
            <w:tcW w:type="pct" w:w="15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Makes civil registry services more accessible and secure.</w:t>
            </w:r>
          </w:p>
        </w:tc>
      </w:tr>
      <w:tr>
        <w:tc>
          <w:tcPr>
            <w:tcW w:type="pct" w:w="14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9. Real Property Tax</w:t>
            </w:r>
          </w:p>
        </w:tc>
        <w:tc>
          <w:tcPr>
            <w:tcW w:type="pct" w:w="21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Tax declaration inquiry, payment reference generation, and appointment booking.</w:t>
            </w:r>
          </w:p>
        </w:tc>
        <w:tc>
          <w:tcPr>
            <w:tcW w:type="pct" w:w="15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Improves taxpayer convenience and collection visibility.</w:t>
            </w:r>
          </w:p>
        </w:tc>
      </w:tr>
      <w:tr>
        <w:tc>
          <w:tcPr>
            <w:tcW w:type="pct" w:w="14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10. Health Services (RHU)</w:t>
            </w:r>
          </w:p>
        </w:tc>
        <w:tc>
          <w:tcPr>
            <w:tcW w:type="pct" w:w="21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Online appointment booking, clinic queue management, and public health advisories.</w:t>
            </w:r>
          </w:p>
        </w:tc>
        <w:tc>
          <w:tcPr>
            <w:tcW w:type="pct" w:w="15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Improves access to health services and supports health monitoring.</w:t>
            </w:r>
          </w:p>
        </w:tc>
      </w:tr>
      <w:tr>
        <w:tc>
          <w:tcPr>
            <w:tcW w:type="pct" w:w="14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11. Citizen Incident Reporting</w:t>
            </w:r>
          </w:p>
        </w:tc>
        <w:tc>
          <w:tcPr>
            <w:tcW w:type="pct" w:w="21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Reports submitted with photo and location, routed to the responsible office with status tracking.</w:t>
            </w:r>
          </w:p>
        </w:tc>
        <w:tc>
          <w:tcPr>
            <w:tcW w:type="pct" w:w="15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Turns community concerns into trackable, measurable cases.</w:t>
            </w:r>
          </w:p>
        </w:tc>
      </w:tr>
      <w:tr>
        <w:tc>
          <w:tcPr>
            <w:tcW w:type="pct" w:w="14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12. Disaster Risk Reduction &amp; Management</w:t>
            </w:r>
          </w:p>
        </w:tc>
        <w:tc>
          <w:tcPr>
            <w:tcW w:type="pct" w:w="21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Interactive hazard mapping and emergency alerts and advisories.</w:t>
            </w:r>
          </w:p>
        </w:tc>
        <w:tc>
          <w:tcPr>
            <w:tcW w:type="pct" w:w="15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Strengthens preparedness and coordination before, during, and after emergencies.</w:t>
            </w:r>
          </w:p>
        </w:tc>
      </w:tr>
      <w:tr>
        <w:tc>
          <w:tcPr>
            <w:tcW w:type="pct" w:w="14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13. Public Safety and Road Advisories</w:t>
            </w:r>
          </w:p>
        </w:tc>
        <w:tc>
          <w:tcPr>
            <w:tcW w:type="pct" w:w="21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Road advisories and a one-tap directory of emergency hotlines.</w:t>
            </w:r>
          </w:p>
        </w:tc>
        <w:tc>
          <w:tcPr>
            <w:tcW w:type="pct" w:w="15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Keeps residents informed and connected to emergency responders.</w:t>
            </w:r>
          </w:p>
        </w:tc>
      </w:tr>
      <w:tr>
        <w:tc>
          <w:tcPr>
            <w:tcW w:type="pct" w:w="14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14. Barangay Portal &amp; Executive Directives</w:t>
            </w:r>
          </w:p>
        </w:tc>
        <w:tc>
          <w:tcPr>
            <w:tcW w:type="pct" w:w="21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Dedicated dashboards for all 20 barangays and delivery of official directives from the Mayor's office with read confirmation.</w:t>
            </w:r>
          </w:p>
        </w:tc>
        <w:tc>
          <w:tcPr>
            <w:tcW w:type="pct" w:w="15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Strengthens communication and accountability between the municipality and barangays.</w:t>
            </w:r>
          </w:p>
        </w:tc>
      </w:tr>
      <w:tr>
        <w:tc>
          <w:tcPr>
            <w:tcW w:type="pct" w:w="14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15. Public Market &amp; Enterprise Management</w:t>
            </w:r>
          </w:p>
        </w:tc>
        <w:tc>
          <w:tcPr>
            <w:tcW w:type="pct" w:w="21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Stall allocation, vendor registry, and mobile logging of fee collection.</w:t>
            </w:r>
          </w:p>
        </w:tc>
        <w:tc>
          <w:tcPr>
            <w:tcW w:type="pct" w:w="15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Improves transparency and reporting of market revenues.</w:t>
            </w:r>
          </w:p>
        </w:tc>
      </w:tr>
      <w:tr>
        <w:tc>
          <w:tcPr>
            <w:tcW w:type="pct" w:w="14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16. LGU Courier and Document Delivery</w:t>
            </w:r>
          </w:p>
        </w:tc>
        <w:tc>
          <w:tcPr>
            <w:tcW w:type="pct" w:w="21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Pickup at the municipal counter or home delivery through an official LGU rider, with proof of delivery.</w:t>
            </w:r>
          </w:p>
        </w:tc>
        <w:tc>
          <w:tcPr>
            <w:tcW w:type="pct" w:w="15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Gives residents a convenient, documented fulfillment option.</w:t>
            </w:r>
          </w:p>
        </w:tc>
      </w:tr>
      <w:tr>
        <w:tc>
          <w:tcPr>
            <w:tcW w:type="pct" w:w="14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17. Public Information &amp; Transparency</w:t>
            </w:r>
          </w:p>
        </w:tc>
        <w:tc>
          <w:tcPr>
            <w:tcW w:type="pct" w:w="21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Official news, project tracking, ordinances archive, job board, local tourism and community information, and a citizen's charter search.</w:t>
            </w:r>
          </w:p>
        </w:tc>
        <w:tc>
          <w:tcPr>
            <w:tcW w:type="pct" w:w="15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Improves public access to official information and promotes the local economy.</w:t>
            </w:r>
          </w:p>
        </w:tc>
      </w:tr>
      <w:tr>
        <w:tc>
          <w:tcPr>
            <w:tcW w:type="pct" w:w="14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18. Executive Command Center &amp; Audit Trail</w:t>
            </w:r>
          </w:p>
        </w:tc>
        <w:tc>
          <w:tcPr>
            <w:tcW w:type="pct" w:w="21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Real-time executive dashboards and permanent, tamper-resistant activity logging.</w:t>
            </w:r>
          </w:p>
        </w:tc>
        <w:tc>
          <w:tcPr>
            <w:tcW w:type="pct" w:w="15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Gives leadership one view of municipal operations, with full accountability.</w:t>
            </w:r>
          </w:p>
        </w:tc>
      </w:tr>
    </w:tbl>
    <w:p>
      <w:pPr>
        <w:spacing w:after="120" w:before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0038A8"/>
          <w:sz w:val="26"/>
          <w:szCs w:val="26"/>
        </w:rPr>
        <w:t xml:space="preserve">4. Operational Gaps and System Response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Visual 4. How municipal data flows from residents, barangays, and departments to the Executive Command Center.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610"/>
        <w:gridCol w:w="2708"/>
      </w:tblGrid>
      <w:tr>
        <w:tc>
          <w:tcPr>
            <w:tcW w:type="pct" w:w="1500"/>
            <w:shd w:fill="0038A8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Challenge</w:t>
            </w:r>
          </w:p>
        </w:tc>
        <w:tc>
          <w:tcPr>
            <w:tcW w:type="pct" w:w="2000"/>
            <w:shd w:fill="0038A8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Response</w:t>
            </w:r>
          </w:p>
        </w:tc>
        <w:tc>
          <w:tcPr>
            <w:tcW w:type="pct" w:w="1500"/>
            <w:shd w:fill="0038A8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Executive Data Produced</w:t>
            </w:r>
          </w:p>
        </w:tc>
      </w:tr>
      <w:tr>
        <w:tc>
          <w:tcPr>
            <w:tcW w:type="pct" w:w="15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Complaints in barangays and the municipal hall are received in a scattered, manual way.</w:t>
            </w:r>
          </w:p>
        </w:tc>
        <w:tc>
          <w:tcPr>
            <w:tcW w:type="pct" w:w="20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Centralized incident reporting with photos, location mapping, and categories.</w:t>
            </w:r>
          </w:p>
        </w:tc>
        <w:tc>
          <w:tcPr>
            <w:tcW w:type="pct" w:w="15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Most frequent concerns per barangay, response times, and service bottlenecks.</w:t>
            </w:r>
          </w:p>
        </w:tc>
      </w:tr>
      <w:tr>
        <w:tc>
          <w:tcPr>
            <w:tcW w:type="pct" w:w="15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Long queues and delayed processing of business permits and community tax certificates.</w:t>
            </w:r>
          </w:p>
        </w:tc>
        <w:tc>
          <w:tcPr>
            <w:tcW w:type="pct" w:w="20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Online applications, automated tax computation, and appointment booking.</w:t>
            </w:r>
          </w:p>
        </w:tc>
        <w:tc>
          <w:tcPr>
            <w:tcW w:type="pct" w:w="15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Number of registered businesses, tax collections, and permit processing speed.</w:t>
            </w:r>
          </w:p>
        </w:tc>
      </w:tr>
      <w:tr>
        <w:tc>
          <w:tcPr>
            <w:tcW w:type="pct" w:w="15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Limited fast communication from the Mayor's office to the 20 barangays.</w:t>
            </w:r>
          </w:p>
        </w:tc>
        <w:tc>
          <w:tcPr>
            <w:tcW w:type="pct" w:w="20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Digital distribution of official directives with read confirmation.</w:t>
            </w:r>
          </w:p>
        </w:tc>
        <w:tc>
          <w:tcPr>
            <w:tcW w:type="pct" w:w="15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Proof of which barangays have received and read each directive.</w:t>
            </w:r>
          </w:p>
        </w:tc>
      </w:tr>
      <w:tr>
        <w:tc>
          <w:tcPr>
            <w:tcW w:type="pct" w:w="15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Difficulty monitoring health and welfare assistance for residents.</w:t>
            </w:r>
          </w:p>
        </w:tc>
        <w:tc>
          <w:tcPr>
            <w:tcW w:type="pct" w:w="20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Online health appointment booking and resident profiles with sectoral tagging.</w:t>
            </w:r>
          </w:p>
        </w:tc>
        <w:tc>
          <w:tcPr>
            <w:tcW w:type="pct" w:w="15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Demographic breakdown of residents needing medical or financial support.</w:t>
            </w:r>
          </w:p>
        </w:tc>
      </w:tr>
      <w:tr>
        <w:tc>
          <w:tcPr>
            <w:tcW w:type="pct" w:w="15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Manual monitoring of public market fees.</w:t>
            </w:r>
          </w:p>
        </w:tc>
        <w:tc>
          <w:tcPr>
            <w:tcW w:type="pct" w:w="20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Market stall management with a mobile-friendly tool for collectors.</w:t>
            </w:r>
          </w:p>
        </w:tc>
        <w:tc>
          <w:tcPr>
            <w:tcW w:type="pct" w:w="15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Daily collection reports by product line and registered vendor.</w:t>
            </w:r>
          </w:p>
        </w:tc>
      </w:tr>
      <w:tr>
        <w:tc>
          <w:tcPr>
            <w:tcW w:type="pct" w:w="15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Limited real-time visibility for the Mayor on the status of LGU operations.</w:t>
            </w:r>
          </w:p>
        </w:tc>
        <w:tc>
          <w:tcPr>
            <w:tcW w:type="pct" w:w="20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 executive dashboard that brings all offices together.</w:t>
            </w:r>
          </w:p>
        </w:tc>
        <w:tc>
          <w:tcPr>
            <w:tcW w:type="pct" w:w="15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One comprehensive view of KPIs, revenue pipeline, and service performance.</w:t>
            </w:r>
          </w:p>
        </w:tc>
      </w:tr>
    </w:tbl>
    <w:p>
      <w:pPr>
        <w:spacing w:after="120" w:before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0038A8"/>
          <w:sz w:val="26"/>
          <w:szCs w:val="26"/>
        </w:rPr>
        <w:t xml:space="preserve">5. Implementation Roadmap and Payment Framework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Visual 5. Implementation phases and payment milestones.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4062"/>
        <w:gridCol w:w="2708"/>
      </w:tblGrid>
      <w:tr>
        <w:tc>
          <w:tcPr>
            <w:tcW w:type="pct" w:w="1250"/>
            <w:shd w:fill="0038A8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pct" w:w="2250"/>
            <w:shd w:fill="0038A8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  <w:tc>
          <w:tcPr>
            <w:tcW w:type="pct" w:w="1500"/>
            <w:shd w:fill="0038A8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Milestone Trigger</w:t>
            </w:r>
          </w:p>
        </w:tc>
      </w:tr>
      <w:tr>
        <w:tc>
          <w:tcPr>
            <w:tcW w:type="pct" w:w="125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Phase 1: Kickoff and Branding</w:t>
            </w:r>
          </w:p>
        </w:tc>
        <w:tc>
          <w:tcPr>
            <w:tcW w:type="pct" w:w="225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Department-by-department requirements consultation, localized system configuration, setup of all 20 barangays, and system blueprint.</w:t>
            </w:r>
          </w:p>
        </w:tc>
        <w:tc>
          <w:tcPr>
            <w:tcW w:type="pct" w:w="15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30% upon signing and Notice to Proceed (NTP)</w:t>
            </w:r>
          </w:p>
        </w:tc>
      </w:tr>
      <w:tr>
        <w:tc>
          <w:tcPr>
            <w:tcW w:type="pct" w:w="125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Phase 2: UI/UX and Staging</w:t>
            </w:r>
          </w:p>
        </w:tc>
        <w:tc>
          <w:tcPr>
            <w:tcW w:type="pct" w:w="225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Resident self-registration setup, identity verification testing, and staging environment setup.</w:t>
            </w:r>
          </w:p>
        </w:tc>
        <w:tc>
          <w:tcPr>
            <w:tcW w:type="pct" w:w="15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25% upon blueprint and UI/UX approval</w:t>
            </w:r>
          </w:p>
        </w:tc>
      </w:tr>
      <w:tr>
        <w:tc>
          <w:tcPr>
            <w:tcW w:type="pct" w:w="125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Phase 3: Core Modules Integration</w:t>
            </w:r>
          </w:p>
        </w:tc>
        <w:tc>
          <w:tcPr>
            <w:tcW w:type="pct" w:w="225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Activation of the permits, treasury, civil registry, health, engineering, and barangay portals.</w:t>
            </w:r>
          </w:p>
        </w:tc>
        <w:tc>
          <w:tcPr>
            <w:tcW w:type="pct" w:w="15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25% upon completion of core modules in staging</w:t>
            </w:r>
          </w:p>
        </w:tc>
      </w:tr>
      <w:tr>
        <w:tc>
          <w:tcPr>
            <w:tcW w:type="pct" w:w="125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Phase 4: UAT and Staff Training</w:t>
            </w:r>
          </w:p>
        </w:tc>
        <w:tc>
          <w:tcPr>
            <w:tcW w:type="pct" w:w="225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Hands-on training for LGU staff and barangay officials; security hardening.</w:t>
            </w:r>
          </w:p>
        </w:tc>
        <w:tc>
          <w:tcPr>
            <w:tcW w:type="pct" w:w="1500"/>
            <w:shd w:fill="F8FAFC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10% upon successful UAT sign-off</w:t>
            </w:r>
          </w:p>
        </w:tc>
      </w:tr>
      <w:tr>
        <w:tc>
          <w:tcPr>
            <w:tcW w:type="pct" w:w="125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Phase 5: Live Launch and Turnover</w:t>
            </w:r>
          </w:p>
        </w:tc>
        <w:tc>
          <w:tcPr>
            <w:tcW w:type="pct" w:w="225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Live deployment to the public domain, production database turnover, and official launch.</w:t>
            </w:r>
          </w:p>
        </w:tc>
        <w:tc>
          <w:tcPr>
            <w:tcW w:type="pct" w:w="1500"/>
            <w:shd w:fill="FFFFFF" w:val="clea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10% upon production turnover</w:t>
            </w:r>
          </w:p>
        </w:tc>
      </w:tr>
    </w:tbl>
    <w:p>
      <w:pPr>
        <w:spacing w:after="120" w:before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0038A8"/>
          <w:sz w:val="26"/>
          <w:szCs w:val="26"/>
        </w:rPr>
        <w:t xml:space="preserve">6. Closing Recommendation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The e-BALUNGAO Digital Services Hub is designed not as a decorative website, but as public infrastructure for faster, more honest, and better-organized governance in the Municipality of Balungao.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Through this platform, every municipal transaction, barangay concern, business permit, and health consultation becomes faster, visible on the map, and monitored by the Mayor and municipal officials.</w:t>
      </w:r>
    </w:p>
    <w:p>
      <w:pPr>
        <w:spacing w:after="120" w:before="120"/>
      </w:pP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Visual 6. One trusted operating layer connecting residents, departments, and leadership.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0038A8" w:sz="24"/>
              <w:bottom w:val="none"/>
              <w:right w:val="none"/>
            </w:tcBorders>
            <w:shd w:fill="F0F4FF" w:val="clear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038A8"/>
                <w:sz w:val="21"/>
                <w:szCs w:val="21"/>
              </w:rPr>
              <w:t xml:space="preserve">VERTEX CLOSING POSITION</w:t>
            </w:r>
          </w:p>
          <w:p>
            <w:pPr>
              <w:spacing w:after="80" w:before="0" w:line="26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 smart municipality is not created by launching a website alone. It is created when residents, barangays, departments, and leadership are connected in one trusted operating layer. That is the real value of the e-BALUNGAO Digital Services Hub.</w:t>
            </w:r>
          </w:p>
        </w:tc>
      </w:tr>
    </w:tbl>
    <w:p>
      <w:pPr>
        <w:spacing w:after="120" w:before="240"/>
      </w:pPr>
    </w:p>
    <w:p>
      <w:pPr>
        <w:spacing w:after="120" w:before="60" w:line="27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Prepared by: Vertex Technologies Corporation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Version 1.0 | Current System Scope and Capability Report | Confidential  -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e-Balungao Digital Services Hub | Formal Website Proposal &amp; SOW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2026-10-09T05:04:46.652Z</dcterms:created>
  <dcterms:modified xsi:type="dcterms:W3CDTF">2026-10-09T05:04:46.653Z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