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BFA7" w14:textId="3C843A28" w:rsidR="00F0195A" w:rsidRPr="00F0195A" w:rsidRDefault="00F0195A" w:rsidP="00F0195A">
      <w:p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Task-</w:t>
      </w:r>
      <w:r w:rsidRPr="00F0195A">
        <w:rPr>
          <w:rFonts w:ascii="Segoe UI" w:eastAsia="Times New Roman" w:hAnsi="Segoe UI" w:cs="Segoe UI"/>
          <w:color w:val="24292E"/>
          <w:sz w:val="24"/>
          <w:szCs w:val="24"/>
        </w:rPr>
        <w:t>Create a report in Microsoft Word and answer the following questions...</w:t>
      </w:r>
    </w:p>
    <w:p w14:paraId="10E7258A" w14:textId="4EADC940" w:rsidR="00F0195A" w:rsidRPr="00F04689" w:rsidRDefault="00F0195A" w:rsidP="00DF581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0195A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14:paraId="7794844A" w14:textId="7B4D16A4" w:rsidR="00624AE2" w:rsidRDefault="0092643A" w:rsidP="00DF5817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  <w:highlight w:val="yellow"/>
        </w:rPr>
      </w:pPr>
      <w:r w:rsidRPr="0092643A">
        <w:rPr>
          <w:rFonts w:ascii="Segoe UI" w:eastAsia="Times New Roman" w:hAnsi="Segoe UI" w:cs="Segoe UI"/>
          <w:sz w:val="24"/>
          <w:szCs w:val="24"/>
          <w:highlight w:val="yellow"/>
        </w:rPr>
        <w:t xml:space="preserve">Conclusion </w:t>
      </w:r>
      <w:r w:rsidR="00624AE2">
        <w:rPr>
          <w:rFonts w:ascii="Segoe UI" w:eastAsia="Times New Roman" w:hAnsi="Segoe UI" w:cs="Segoe UI"/>
          <w:sz w:val="24"/>
          <w:szCs w:val="24"/>
          <w:highlight w:val="yellow"/>
        </w:rPr>
        <w:t xml:space="preserve">1: </w:t>
      </w:r>
      <w:r w:rsidR="00624AE2" w:rsidRPr="00624AE2">
        <w:rPr>
          <w:rFonts w:ascii="Segoe UI" w:eastAsia="Times New Roman" w:hAnsi="Segoe UI" w:cs="Segoe UI"/>
          <w:sz w:val="24"/>
          <w:szCs w:val="24"/>
          <w:highlight w:val="yellow"/>
        </w:rPr>
        <w:t>Music Kickstarter Campaign</w:t>
      </w:r>
      <w:r w:rsidR="00DF5817">
        <w:rPr>
          <w:rFonts w:ascii="Segoe UI" w:eastAsia="Times New Roman" w:hAnsi="Segoe UI" w:cs="Segoe UI"/>
          <w:sz w:val="24"/>
          <w:szCs w:val="24"/>
          <w:highlight w:val="yellow"/>
        </w:rPr>
        <w:t>s</w:t>
      </w:r>
      <w:r w:rsidR="00624AE2">
        <w:rPr>
          <w:rFonts w:ascii="Segoe UI" w:eastAsia="Times New Roman" w:hAnsi="Segoe UI" w:cs="Segoe UI"/>
          <w:sz w:val="24"/>
          <w:szCs w:val="24"/>
          <w:highlight w:val="yellow"/>
        </w:rPr>
        <w:t xml:space="preserve"> ha</w:t>
      </w:r>
      <w:r w:rsidR="00DF5817">
        <w:rPr>
          <w:rFonts w:ascii="Segoe UI" w:eastAsia="Times New Roman" w:hAnsi="Segoe UI" w:cs="Segoe UI"/>
          <w:sz w:val="24"/>
          <w:szCs w:val="24"/>
          <w:highlight w:val="yellow"/>
        </w:rPr>
        <w:t>ve</w:t>
      </w:r>
      <w:r w:rsidR="00624AE2">
        <w:rPr>
          <w:rFonts w:ascii="Segoe UI" w:eastAsia="Times New Roman" w:hAnsi="Segoe UI" w:cs="Segoe UI"/>
          <w:sz w:val="24"/>
          <w:szCs w:val="24"/>
          <w:highlight w:val="yellow"/>
        </w:rPr>
        <w:t xml:space="preserve"> the highest chance to succeed in crowdfunding.</w:t>
      </w:r>
    </w:p>
    <w:p w14:paraId="7F2FFA38" w14:textId="7E194B0F" w:rsidR="00F04689" w:rsidRDefault="000E0A93" w:rsidP="00DF5817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Among all co</w:t>
      </w:r>
      <w:r w:rsidR="00DF5817">
        <w:rPr>
          <w:rFonts w:ascii="Segoe UI" w:eastAsia="Times New Roman" w:hAnsi="Segoe UI" w:cs="Segoe UI"/>
          <w:sz w:val="24"/>
          <w:szCs w:val="24"/>
        </w:rPr>
        <w:t>u</w:t>
      </w:r>
      <w:r>
        <w:rPr>
          <w:rFonts w:ascii="Segoe UI" w:eastAsia="Times New Roman" w:hAnsi="Segoe UI" w:cs="Segoe UI"/>
          <w:sz w:val="24"/>
          <w:szCs w:val="24"/>
        </w:rPr>
        <w:t>ntr</w:t>
      </w:r>
      <w:r w:rsidR="00DF5817">
        <w:rPr>
          <w:rFonts w:ascii="Segoe UI" w:eastAsia="Times New Roman" w:hAnsi="Segoe UI" w:cs="Segoe UI"/>
          <w:sz w:val="24"/>
          <w:szCs w:val="24"/>
        </w:rPr>
        <w:t>ies, Theater related campaigns have the highest number of all Kickstarter projects, which are mostly contributed by Plays funding campaigns (see figure</w:t>
      </w:r>
      <w:r w:rsidR="00F04689">
        <w:rPr>
          <w:rFonts w:ascii="Segoe UI" w:eastAsia="Times New Roman" w:hAnsi="Segoe UI" w:cs="Segoe UI"/>
          <w:sz w:val="24"/>
          <w:szCs w:val="24"/>
        </w:rPr>
        <w:t xml:space="preserve"> </w:t>
      </w:r>
      <w:r w:rsidR="00DF5817">
        <w:rPr>
          <w:rFonts w:ascii="Segoe UI" w:eastAsia="Times New Roman" w:hAnsi="Segoe UI" w:cs="Segoe UI"/>
          <w:sz w:val="24"/>
          <w:szCs w:val="24"/>
        </w:rPr>
        <w:t>2). Following are Music and Film &amp; Video, ranking the 2</w:t>
      </w:r>
      <w:r w:rsidR="00DF5817" w:rsidRPr="00DF5817">
        <w:rPr>
          <w:rFonts w:ascii="Segoe UI" w:eastAsia="Times New Roman" w:hAnsi="Segoe UI" w:cs="Segoe UI"/>
          <w:sz w:val="24"/>
          <w:szCs w:val="24"/>
          <w:vertAlign w:val="superscript"/>
        </w:rPr>
        <w:t>nd</w:t>
      </w:r>
      <w:r w:rsidR="00DF5817">
        <w:rPr>
          <w:rFonts w:ascii="Segoe UI" w:eastAsia="Times New Roman" w:hAnsi="Segoe UI" w:cs="Segoe UI"/>
          <w:sz w:val="24"/>
          <w:szCs w:val="24"/>
        </w:rPr>
        <w:t xml:space="preserve"> and </w:t>
      </w:r>
      <w:r w:rsidR="00F04689">
        <w:rPr>
          <w:rFonts w:ascii="Segoe UI" w:eastAsia="Times New Roman" w:hAnsi="Segoe UI" w:cs="Segoe UI"/>
          <w:sz w:val="24"/>
          <w:szCs w:val="24"/>
        </w:rPr>
        <w:t xml:space="preserve">the </w:t>
      </w:r>
      <w:r w:rsidR="00DF5817">
        <w:rPr>
          <w:rFonts w:ascii="Segoe UI" w:eastAsia="Times New Roman" w:hAnsi="Segoe UI" w:cs="Segoe UI"/>
          <w:sz w:val="24"/>
          <w:szCs w:val="24"/>
        </w:rPr>
        <w:t>3</w:t>
      </w:r>
      <w:r w:rsidR="00DF5817" w:rsidRPr="00DF5817">
        <w:rPr>
          <w:rFonts w:ascii="Segoe UI" w:eastAsia="Times New Roman" w:hAnsi="Segoe UI" w:cs="Segoe UI"/>
          <w:sz w:val="24"/>
          <w:szCs w:val="24"/>
          <w:vertAlign w:val="superscript"/>
        </w:rPr>
        <w:t>rd</w:t>
      </w:r>
      <w:r w:rsidR="00DF5817">
        <w:rPr>
          <w:rFonts w:ascii="Segoe UI" w:eastAsia="Times New Roman" w:hAnsi="Segoe UI" w:cs="Segoe UI"/>
          <w:sz w:val="24"/>
          <w:szCs w:val="24"/>
        </w:rPr>
        <w:t xml:space="preserve"> </w:t>
      </w:r>
      <w:r w:rsidR="00F04689">
        <w:rPr>
          <w:rFonts w:ascii="Segoe UI" w:eastAsia="Times New Roman" w:hAnsi="Segoe UI" w:cs="Segoe UI"/>
          <w:sz w:val="24"/>
          <w:szCs w:val="24"/>
        </w:rPr>
        <w:t xml:space="preserve">respectively </w:t>
      </w:r>
      <w:r w:rsidR="00DF5817">
        <w:rPr>
          <w:rFonts w:ascii="Segoe UI" w:eastAsia="Times New Roman" w:hAnsi="Segoe UI" w:cs="Segoe UI"/>
          <w:sz w:val="24"/>
          <w:szCs w:val="24"/>
        </w:rPr>
        <w:t xml:space="preserve">in terms of campaign numbers </w:t>
      </w:r>
      <w:r w:rsidR="00DF5817">
        <w:rPr>
          <w:rFonts w:ascii="Segoe UI" w:eastAsia="Times New Roman" w:hAnsi="Segoe UI" w:cs="Segoe UI"/>
          <w:sz w:val="24"/>
          <w:szCs w:val="24"/>
        </w:rPr>
        <w:t>(see figure 1).</w:t>
      </w:r>
      <w:r w:rsidR="00DF5817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238BCA7D" w14:textId="14E33004" w:rsidR="00624AE2" w:rsidRDefault="00DF5817" w:rsidP="00DF5817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However, </w:t>
      </w:r>
      <w:r w:rsidR="00F04689">
        <w:rPr>
          <w:rFonts w:ascii="Segoe UI" w:eastAsia="Times New Roman" w:hAnsi="Segoe UI" w:cs="Segoe UI"/>
          <w:sz w:val="24"/>
          <w:szCs w:val="24"/>
        </w:rPr>
        <w:t xml:space="preserve">Music campaigns are the most profitable Kickstarter projects (see figure 3), with 100% success rate of classical, electronic, pop and rock music </w:t>
      </w:r>
      <w:proofErr w:type="spellStart"/>
      <w:r w:rsidR="00F04689">
        <w:rPr>
          <w:rFonts w:ascii="Segoe UI" w:eastAsia="Times New Roman" w:hAnsi="Segoe UI" w:cs="Segoe UI"/>
          <w:sz w:val="24"/>
          <w:szCs w:val="24"/>
        </w:rPr>
        <w:t>funding</w:t>
      </w:r>
      <w:r w:rsidR="00BA2F3E">
        <w:rPr>
          <w:rFonts w:ascii="Segoe UI" w:eastAsia="Times New Roman" w:hAnsi="Segoe UI" w:cs="Segoe UI"/>
          <w:sz w:val="24"/>
          <w:szCs w:val="24"/>
        </w:rPr>
        <w:t>s</w:t>
      </w:r>
      <w:proofErr w:type="spellEnd"/>
      <w:r w:rsidR="00F04689">
        <w:rPr>
          <w:rFonts w:ascii="Segoe UI" w:eastAsia="Times New Roman" w:hAnsi="Segoe UI" w:cs="Segoe UI"/>
          <w:sz w:val="24"/>
          <w:szCs w:val="24"/>
        </w:rPr>
        <w:t xml:space="preserve"> (see figure 4). Also, it is worth mention</w:t>
      </w:r>
      <w:r w:rsidR="00BA2F3E">
        <w:rPr>
          <w:rFonts w:ascii="Segoe UI" w:eastAsia="Times New Roman" w:hAnsi="Segoe UI" w:cs="Segoe UI"/>
          <w:sz w:val="24"/>
          <w:szCs w:val="24"/>
        </w:rPr>
        <w:t>ed</w:t>
      </w:r>
      <w:r w:rsidR="00F04689">
        <w:rPr>
          <w:rFonts w:ascii="Segoe UI" w:eastAsia="Times New Roman" w:hAnsi="Segoe UI" w:cs="Segoe UI"/>
          <w:sz w:val="24"/>
          <w:szCs w:val="24"/>
        </w:rPr>
        <w:t xml:space="preserve"> that hardware and documentary have high positive outcomes (see figure 2). </w:t>
      </w:r>
    </w:p>
    <w:p w14:paraId="7ED9E15E" w14:textId="40B4173C" w:rsidR="00DF5817" w:rsidRDefault="00DF5817" w:rsidP="00DF5817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6819C759" wp14:editId="253F6F69">
            <wp:extent cx="3368040" cy="20266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32" cy="2046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C2AFE" w14:textId="0DA1D7E7" w:rsidR="00DF5817" w:rsidRDefault="00F04689" w:rsidP="00DF5817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2E6C65EE" wp14:editId="00CC752E">
            <wp:extent cx="5676900" cy="2078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14" cy="2108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F6C16" w14:textId="5D02B896" w:rsidR="00F04689" w:rsidRDefault="00F04689" w:rsidP="00F04689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 wp14:anchorId="1EE348C0" wp14:editId="4C7038EB">
            <wp:extent cx="3543300" cy="243109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34" cy="2457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F1B4A" w14:textId="55BECAFD" w:rsidR="00F04689" w:rsidRDefault="00F04689" w:rsidP="00F04689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6C372771" wp14:editId="37FF3C73">
            <wp:extent cx="3585657" cy="2225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62" cy="2226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DECA9" w14:textId="77777777" w:rsidR="008D649F" w:rsidRDefault="008D649F" w:rsidP="008D649F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  <w:highlight w:val="yellow"/>
        </w:rPr>
      </w:pPr>
    </w:p>
    <w:p w14:paraId="710737A7" w14:textId="45429A3E" w:rsidR="008D649F" w:rsidRDefault="008D649F" w:rsidP="008D649F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  <w:highlight w:val="yellow"/>
        </w:rPr>
      </w:pPr>
      <w:r w:rsidRPr="0092643A">
        <w:rPr>
          <w:rFonts w:ascii="Segoe UI" w:eastAsia="Times New Roman" w:hAnsi="Segoe UI" w:cs="Segoe UI"/>
          <w:sz w:val="24"/>
          <w:szCs w:val="24"/>
          <w:highlight w:val="yellow"/>
        </w:rPr>
        <w:t xml:space="preserve">Conclusion </w:t>
      </w:r>
      <w:r>
        <w:rPr>
          <w:rFonts w:ascii="Segoe UI" w:eastAsia="Times New Roman" w:hAnsi="Segoe UI" w:cs="Segoe UI"/>
          <w:sz w:val="24"/>
          <w:szCs w:val="24"/>
          <w:highlight w:val="yellow"/>
        </w:rPr>
        <w:t>2</w:t>
      </w:r>
      <w:r>
        <w:rPr>
          <w:rFonts w:ascii="Segoe UI" w:eastAsia="Times New Roman" w:hAnsi="Segoe UI" w:cs="Segoe UI"/>
          <w:sz w:val="24"/>
          <w:szCs w:val="24"/>
          <w:highlight w:val="yellow"/>
        </w:rPr>
        <w:t>:</w:t>
      </w:r>
      <w:r w:rsidR="00BA2F3E">
        <w:rPr>
          <w:rFonts w:ascii="Segoe UI" w:eastAsia="Times New Roman" w:hAnsi="Segoe UI" w:cs="Segoe UI"/>
          <w:sz w:val="24"/>
          <w:szCs w:val="24"/>
          <w:highlight w:val="yellow"/>
        </w:rPr>
        <w:t xml:space="preserve"> On the other hand, games and food campaigns are more likely to end with negative outcomes (see figure 3)</w:t>
      </w:r>
      <w:r>
        <w:rPr>
          <w:rFonts w:ascii="Segoe UI" w:eastAsia="Times New Roman" w:hAnsi="Segoe UI" w:cs="Segoe UI"/>
          <w:sz w:val="24"/>
          <w:szCs w:val="24"/>
          <w:highlight w:val="yellow"/>
        </w:rPr>
        <w:t>.</w:t>
      </w:r>
      <w:r w:rsidR="00BA2F3E">
        <w:rPr>
          <w:rFonts w:ascii="Segoe UI" w:eastAsia="Times New Roman" w:hAnsi="Segoe UI" w:cs="Segoe UI"/>
          <w:sz w:val="24"/>
          <w:szCs w:val="24"/>
          <w:highlight w:val="yellow"/>
        </w:rPr>
        <w:t xml:space="preserve"> </w:t>
      </w:r>
    </w:p>
    <w:p w14:paraId="23B22311" w14:textId="77777777" w:rsidR="006468AE" w:rsidRDefault="00BA2F3E" w:rsidP="008D649F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 w:rsidRPr="00BA2F3E">
        <w:rPr>
          <w:rFonts w:ascii="Segoe UI" w:eastAsia="Times New Roman" w:hAnsi="Segoe UI" w:cs="Segoe UI"/>
          <w:sz w:val="24"/>
          <w:szCs w:val="24"/>
        </w:rPr>
        <w:t xml:space="preserve">This </w:t>
      </w:r>
      <w:r>
        <w:rPr>
          <w:rFonts w:ascii="Segoe UI" w:eastAsia="Times New Roman" w:hAnsi="Segoe UI" w:cs="Segoe UI"/>
          <w:sz w:val="24"/>
          <w:szCs w:val="24"/>
        </w:rPr>
        <w:t xml:space="preserve">is because food trucks and video/mobile games tends to fail in Kickstarter fund </w:t>
      </w:r>
      <w:r w:rsidR="006468AE">
        <w:rPr>
          <w:rFonts w:ascii="Segoe UI" w:eastAsia="Times New Roman" w:hAnsi="Segoe UI" w:cs="Segoe UI"/>
          <w:sz w:val="24"/>
          <w:szCs w:val="24"/>
        </w:rPr>
        <w:t>raising (see figure 5&amp;6)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14:paraId="27242354" w14:textId="735BCC1B" w:rsidR="00BA2F3E" w:rsidRPr="00BA2F3E" w:rsidRDefault="00BA2F3E" w:rsidP="008D649F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 xml:space="preserve"> </w:t>
      </w:r>
      <w:r w:rsidR="006468AE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2DEC6177" wp14:editId="6E0AA625">
            <wp:extent cx="3520440" cy="2473636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24" cy="2497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E2321" w14:textId="6490B7F3" w:rsidR="00F04689" w:rsidRDefault="006468AE" w:rsidP="00F04689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074843AD" wp14:editId="169D8343">
            <wp:extent cx="3566160" cy="250576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36" cy="2516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DDE10" w14:textId="77777777" w:rsidR="006468AE" w:rsidRDefault="006468AE" w:rsidP="00F04689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</w:p>
    <w:p w14:paraId="19F6D213" w14:textId="372C8A56" w:rsidR="006468AE" w:rsidRDefault="006468AE" w:rsidP="00F04689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  <w:highlight w:val="yellow"/>
        </w:rPr>
      </w:pPr>
      <w:r w:rsidRPr="0092643A">
        <w:rPr>
          <w:rFonts w:ascii="Segoe UI" w:eastAsia="Times New Roman" w:hAnsi="Segoe UI" w:cs="Segoe UI"/>
          <w:sz w:val="24"/>
          <w:szCs w:val="24"/>
          <w:highlight w:val="yellow"/>
        </w:rPr>
        <w:t xml:space="preserve">Conclusion </w:t>
      </w:r>
      <w:r>
        <w:rPr>
          <w:rFonts w:ascii="Segoe UI" w:eastAsia="Times New Roman" w:hAnsi="Segoe UI" w:cs="Segoe UI"/>
          <w:sz w:val="24"/>
          <w:szCs w:val="24"/>
          <w:highlight w:val="yellow"/>
        </w:rPr>
        <w:t>3</w:t>
      </w:r>
      <w:r>
        <w:rPr>
          <w:rFonts w:ascii="Segoe UI" w:eastAsia="Times New Roman" w:hAnsi="Segoe UI" w:cs="Segoe UI"/>
          <w:sz w:val="24"/>
          <w:szCs w:val="24"/>
          <w:highlight w:val="yellow"/>
        </w:rPr>
        <w:t xml:space="preserve">: </w:t>
      </w:r>
      <w:r>
        <w:rPr>
          <w:rFonts w:ascii="Segoe UI" w:eastAsia="Times New Roman" w:hAnsi="Segoe UI" w:cs="Segoe UI"/>
          <w:sz w:val="24"/>
          <w:szCs w:val="24"/>
          <w:highlight w:val="yellow"/>
        </w:rPr>
        <w:t xml:space="preserve">Campaigns launched on December tend to have higher risks based on the previous </w:t>
      </w:r>
      <w:r w:rsidR="00926283">
        <w:rPr>
          <w:rFonts w:ascii="Segoe UI" w:eastAsia="Times New Roman" w:hAnsi="Segoe UI" w:cs="Segoe UI"/>
          <w:sz w:val="24"/>
          <w:szCs w:val="24"/>
          <w:highlight w:val="yellow"/>
        </w:rPr>
        <w:t>year’s</w:t>
      </w:r>
      <w:r>
        <w:rPr>
          <w:rFonts w:ascii="Segoe UI" w:eastAsia="Times New Roman" w:hAnsi="Segoe UI" w:cs="Segoe UI"/>
          <w:sz w:val="24"/>
          <w:szCs w:val="24"/>
          <w:highlight w:val="yellow"/>
        </w:rPr>
        <w:t xml:space="preserve"> performance (see figure 7), especially in year 2014-2016.</w:t>
      </w:r>
      <w:r w:rsidR="00926283">
        <w:rPr>
          <w:rFonts w:ascii="Segoe UI" w:eastAsia="Times New Roman" w:hAnsi="Segoe UI" w:cs="Segoe UI"/>
          <w:sz w:val="24"/>
          <w:szCs w:val="24"/>
          <w:highlight w:val="yellow"/>
        </w:rPr>
        <w:t xml:space="preserve"> </w:t>
      </w:r>
    </w:p>
    <w:p w14:paraId="42C3D0D8" w14:textId="7658402C" w:rsidR="00926283" w:rsidRDefault="00B77001" w:rsidP="00F04689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Holiday seasons and budgets can be one of the reasons that cause less positive outcomes of crowdfunding.</w:t>
      </w:r>
    </w:p>
    <w:p w14:paraId="79A25424" w14:textId="4A3673CA" w:rsidR="006468AE" w:rsidRDefault="006468AE" w:rsidP="00F04689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 wp14:anchorId="47D5C1AE" wp14:editId="55EACA18">
            <wp:extent cx="4892040" cy="263495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830" cy="2714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2C208" w14:textId="77777777" w:rsidR="00F04689" w:rsidRDefault="00F04689" w:rsidP="00F04689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</w:rPr>
      </w:pPr>
    </w:p>
    <w:p w14:paraId="0E97D7A2" w14:textId="7C34305E" w:rsidR="00F0195A" w:rsidRDefault="00F0195A" w:rsidP="00DF5817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0195A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</w:p>
    <w:p w14:paraId="7930824D" w14:textId="2B57F082" w:rsidR="006468AE" w:rsidRDefault="006468AE" w:rsidP="00D1357C">
      <w:pPr>
        <w:pStyle w:val="ListParagraph"/>
        <w:numPr>
          <w:ilvl w:val="0"/>
          <w:numId w:val="3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6468AE">
        <w:rPr>
          <w:rFonts w:ascii="Segoe UI" w:eastAsia="Times New Roman" w:hAnsi="Segoe UI" w:cs="Segoe UI"/>
          <w:color w:val="24292E"/>
          <w:sz w:val="24"/>
          <w:szCs w:val="24"/>
        </w:rPr>
        <w:t xml:space="preserve">One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limitation is the goal settings. The “state” and “percentage funded” results are based on the </w:t>
      </w:r>
      <w:r w:rsidR="00926283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pledged</w:t>
      </w:r>
      <w:r w:rsidR="00926283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compared with </w:t>
      </w:r>
      <w:r w:rsidR="00926283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goals</w:t>
      </w:r>
      <w:r w:rsidR="00926283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However, some goals are set</w:t>
      </w:r>
      <w:r w:rsidR="00926283">
        <w:rPr>
          <w:rFonts w:ascii="Segoe UI" w:eastAsia="Times New Roman" w:hAnsi="Segoe UI" w:cs="Segoe UI"/>
          <w:color w:val="24292E"/>
          <w:sz w:val="24"/>
          <w:szCs w:val="24"/>
        </w:rPr>
        <w:t xml:space="preserve"> randomly and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26283">
        <w:rPr>
          <w:rFonts w:ascii="Segoe UI" w:eastAsia="Times New Roman" w:hAnsi="Segoe UI" w:cs="Segoe UI"/>
          <w:color w:val="24292E"/>
          <w:sz w:val="24"/>
          <w:szCs w:val="24"/>
        </w:rPr>
        <w:t>thoughtlessly, such as “1” or “100 million”. This might result in limitations in analyzing outcomes of campaign fund raising.</w:t>
      </w:r>
    </w:p>
    <w:p w14:paraId="67B27361" w14:textId="77777777" w:rsidR="00B77001" w:rsidRDefault="00B77001" w:rsidP="00D1357C">
      <w:pPr>
        <w:pStyle w:val="ListParagraph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32A373E" w14:textId="70D1063F" w:rsidR="00926283" w:rsidRDefault="00926283" w:rsidP="00D1357C">
      <w:pPr>
        <w:pStyle w:val="ListParagraph"/>
        <w:numPr>
          <w:ilvl w:val="0"/>
          <w:numId w:val="3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Another limitation is the </w:t>
      </w:r>
      <w:r w:rsidR="00B3776C">
        <w:rPr>
          <w:rFonts w:ascii="Segoe UI" w:eastAsia="Times New Roman" w:hAnsi="Segoe UI" w:cs="Segoe UI"/>
          <w:color w:val="24292E"/>
          <w:sz w:val="24"/>
          <w:szCs w:val="24"/>
        </w:rPr>
        <w:t>bias by different countries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B77001">
        <w:rPr>
          <w:rFonts w:ascii="Segoe UI" w:eastAsia="Times New Roman" w:hAnsi="Segoe UI" w:cs="Segoe UI"/>
          <w:color w:val="24292E"/>
          <w:sz w:val="24"/>
          <w:szCs w:val="24"/>
        </w:rPr>
        <w:t xml:space="preserve">This dataset </w:t>
      </w:r>
      <w:r w:rsidR="00B3776C">
        <w:rPr>
          <w:rFonts w:ascii="Segoe UI" w:eastAsia="Times New Roman" w:hAnsi="Segoe UI" w:cs="Segoe UI"/>
          <w:color w:val="24292E"/>
          <w:sz w:val="24"/>
          <w:szCs w:val="24"/>
        </w:rPr>
        <w:t xml:space="preserve">is in a large scale generated by US, Great Britain and Canada campaigns (see figure 8), which might </w:t>
      </w:r>
      <w:proofErr w:type="gramStart"/>
      <w:r w:rsidR="00B3776C">
        <w:rPr>
          <w:rFonts w:ascii="Segoe UI" w:eastAsia="Times New Roman" w:hAnsi="Segoe UI" w:cs="Segoe UI"/>
          <w:color w:val="24292E"/>
          <w:sz w:val="24"/>
          <w:szCs w:val="24"/>
        </w:rPr>
        <w:t>indicates</w:t>
      </w:r>
      <w:proofErr w:type="gramEnd"/>
      <w:r w:rsidR="00B3776C">
        <w:rPr>
          <w:rFonts w:ascii="Segoe UI" w:eastAsia="Times New Roman" w:hAnsi="Segoe UI" w:cs="Segoe UI"/>
          <w:color w:val="24292E"/>
          <w:sz w:val="24"/>
          <w:szCs w:val="24"/>
        </w:rPr>
        <w:t xml:space="preserve"> biased preference and can not be adopted by decision makes from other countries.</w:t>
      </w:r>
    </w:p>
    <w:p w14:paraId="5545E78C" w14:textId="77777777" w:rsidR="00B77001" w:rsidRPr="00B77001" w:rsidRDefault="00B77001" w:rsidP="00D1357C">
      <w:pPr>
        <w:pStyle w:val="ListParagraph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89105E" w14:textId="5D5A2312" w:rsidR="00B77001" w:rsidRPr="006468AE" w:rsidRDefault="00B77001" w:rsidP="00D1357C">
      <w:pPr>
        <w:pStyle w:val="ListParagraph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8FA5093" wp14:editId="66005A27">
            <wp:extent cx="5715000" cy="24688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8CB4C4-00B2-4ED0-8494-0A52BB42DB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23813AD" w14:textId="661E80F8" w:rsidR="00F0195A" w:rsidRDefault="00F0195A" w:rsidP="00D1357C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0195A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What are some other possible tables/graphs that we could create?</w:t>
      </w:r>
    </w:p>
    <w:p w14:paraId="41B8899A" w14:textId="6E366DEC" w:rsidR="00B3776C" w:rsidRPr="00920103" w:rsidRDefault="00B3776C" w:rsidP="00D1357C">
      <w:pPr>
        <w:pStyle w:val="ListParagraph"/>
        <w:numPr>
          <w:ilvl w:val="0"/>
          <w:numId w:val="3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One of the tables can be created would be the percentage of positive outcomes by different countries</w:t>
      </w:r>
      <w:r w:rsidR="00920103">
        <w:rPr>
          <w:rFonts w:ascii="Segoe UI" w:eastAsia="Times New Roman" w:hAnsi="Segoe UI" w:cs="Segoe UI"/>
          <w:color w:val="24292E"/>
          <w:sz w:val="24"/>
          <w:szCs w:val="24"/>
        </w:rPr>
        <w:t xml:space="preserve"> (see Table 1, see figure 9)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920103">
        <w:rPr>
          <w:rFonts w:ascii="Segoe UI" w:eastAsia="Times New Roman" w:hAnsi="Segoe UI" w:cs="Segoe UI"/>
          <w:color w:val="24292E"/>
          <w:sz w:val="24"/>
          <w:szCs w:val="24"/>
        </w:rPr>
        <w:t xml:space="preserve">From the </w:t>
      </w:r>
      <w:r w:rsidR="00582886">
        <w:rPr>
          <w:rFonts w:ascii="Segoe UI" w:eastAsia="Times New Roman" w:hAnsi="Segoe UI" w:cs="Segoe UI"/>
          <w:color w:val="24292E"/>
          <w:sz w:val="24"/>
          <w:szCs w:val="24"/>
        </w:rPr>
        <w:t>table and map, we can see that Great Britain and US have relatively high success rate in Kickstarter funding.</w:t>
      </w:r>
    </w:p>
    <w:p w14:paraId="3230A719" w14:textId="7681BBBD" w:rsidR="00B834E4" w:rsidRDefault="00920103" w:rsidP="00D1357C">
      <w:pPr>
        <w:jc w:val="both"/>
      </w:pPr>
      <w:r w:rsidRPr="00920103">
        <w:drawing>
          <wp:inline distT="0" distB="0" distL="0" distR="0" wp14:anchorId="023F9566" wp14:editId="0CD5FEF1">
            <wp:extent cx="3468492" cy="33924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09" cy="339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3FE2" w14:textId="396E7236" w:rsidR="006B4364" w:rsidRDefault="00920103" w:rsidP="00D1357C">
      <w:pPr>
        <w:jc w:val="both"/>
      </w:pPr>
      <w:r>
        <w:rPr>
          <w:noProof/>
        </w:rPr>
        <w:drawing>
          <wp:inline distT="0" distB="0" distL="0" distR="0" wp14:anchorId="0D717B2F" wp14:editId="60524E9F">
            <wp:extent cx="6529070" cy="3255645"/>
            <wp:effectExtent l="0" t="0" r="508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2052C3" w14:textId="3C13F82E" w:rsidR="00582886" w:rsidRDefault="00582886" w:rsidP="00D1357C">
      <w:pPr>
        <w:jc w:val="both"/>
      </w:pPr>
    </w:p>
    <w:p w14:paraId="6524C16B" w14:textId="5789E767" w:rsidR="00582886" w:rsidRDefault="00582886" w:rsidP="00D1357C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88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Another interesting result I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found is that games and technology campaign have </w:t>
      </w:r>
      <w:r w:rsidR="008D5464">
        <w:rPr>
          <w:rFonts w:ascii="Segoe UI" w:eastAsia="Times New Roman" w:hAnsi="Segoe UI" w:cs="Segoe UI"/>
          <w:color w:val="24292E"/>
          <w:sz w:val="24"/>
          <w:szCs w:val="24"/>
        </w:rPr>
        <w:t xml:space="preserve">relative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high percentage funded, despite less success rate to reach their goals (see Table 2 and figure 10).</w:t>
      </w:r>
      <w:r w:rsidR="007918DA">
        <w:rPr>
          <w:rFonts w:ascii="Segoe UI" w:eastAsia="Times New Roman" w:hAnsi="Segoe UI" w:cs="Segoe UI"/>
          <w:color w:val="24292E"/>
          <w:sz w:val="24"/>
          <w:szCs w:val="24"/>
        </w:rPr>
        <w:t xml:space="preserve"> This is mainly because tabletop games and hardware has surprisingly high funding results compare to the goals. </w:t>
      </w:r>
    </w:p>
    <w:p w14:paraId="607F46C3" w14:textId="77777777" w:rsidR="00355A45" w:rsidRDefault="00355A45" w:rsidP="00355A4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67FB3A4" w14:textId="1AB313EF" w:rsidR="008D5464" w:rsidRDefault="007918DA" w:rsidP="008D546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 w:rsidRPr="007918DA">
        <w:drawing>
          <wp:inline distT="0" distB="0" distL="0" distR="0" wp14:anchorId="7ADBFA2D" wp14:editId="6152BBCB">
            <wp:extent cx="3072130" cy="3867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6CDF" w14:textId="3F065C26" w:rsidR="007918DA" w:rsidRDefault="007918DA" w:rsidP="008D546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C05AD44" wp14:editId="03251142">
            <wp:extent cx="4157980" cy="28225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09E895" w14:textId="012C809D" w:rsidR="00355A45" w:rsidRDefault="00355A45" w:rsidP="008D546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34EAA7A" w14:textId="799B57F3" w:rsidR="00355A45" w:rsidRDefault="00355A45" w:rsidP="00D1357C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Besides, analysis shows that campaigns picked by staff are more likely to reach their goals (see figure 11).</w:t>
      </w:r>
    </w:p>
    <w:p w14:paraId="578A0EC5" w14:textId="0DE4BCA5" w:rsidR="00355A45" w:rsidRDefault="00355A45" w:rsidP="00355A4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02B02EF" wp14:editId="46E19C34">
            <wp:extent cx="4218940" cy="27736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25C4F5" w14:textId="77777777" w:rsidR="00D1357C" w:rsidRDefault="00D1357C" w:rsidP="00355A4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DB1152" w14:textId="64024B97" w:rsidR="00355A45" w:rsidRDefault="00355A45" w:rsidP="00355A4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71AC6E2" w14:textId="1DDEE4C7" w:rsidR="00355A45" w:rsidRDefault="00355A45" w:rsidP="00D1357C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Additionally, US donator tend to spend more </w:t>
      </w:r>
      <w:r w:rsidR="00D1357C">
        <w:rPr>
          <w:rFonts w:ascii="Segoe UI" w:eastAsia="Times New Roman" w:hAnsi="Segoe UI" w:cs="Segoe UI"/>
          <w:color w:val="24292E"/>
          <w:sz w:val="24"/>
          <w:szCs w:val="24"/>
        </w:rPr>
        <w:t>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D1357C">
        <w:rPr>
          <w:rFonts w:ascii="Segoe UI" w:eastAsia="Times New Roman" w:hAnsi="Segoe UI" w:cs="Segoe UI"/>
          <w:color w:val="24292E"/>
          <w:sz w:val="24"/>
          <w:szCs w:val="24"/>
        </w:rPr>
        <w:t>campaigns they are interested in, compared to the rest of the world. This can be shown by the highest average of percentage of funded in US (see figure 12).</w:t>
      </w:r>
    </w:p>
    <w:p w14:paraId="0AFB7A97" w14:textId="77777777" w:rsidR="00D1357C" w:rsidRDefault="00D1357C" w:rsidP="00D1357C">
      <w:pPr>
        <w:pStyle w:val="ListParagraph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751ECE0B" w14:textId="4EB86636" w:rsidR="008D5464" w:rsidRPr="008D5464" w:rsidRDefault="00D1357C" w:rsidP="008D546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8929747" wp14:editId="4BE24298">
            <wp:extent cx="5870702" cy="2697744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10" cy="2703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D5464" w:rsidRPr="008D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179"/>
    <w:multiLevelType w:val="hybridMultilevel"/>
    <w:tmpl w:val="67CA1FEE"/>
    <w:lvl w:ilvl="0" w:tplc="A980220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C1E84"/>
    <w:multiLevelType w:val="multilevel"/>
    <w:tmpl w:val="CA56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42CA3"/>
    <w:multiLevelType w:val="multilevel"/>
    <w:tmpl w:val="5EE0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FD"/>
    <w:rsid w:val="000E0A93"/>
    <w:rsid w:val="00355A45"/>
    <w:rsid w:val="00582886"/>
    <w:rsid w:val="00624AE2"/>
    <w:rsid w:val="006468AE"/>
    <w:rsid w:val="006B4364"/>
    <w:rsid w:val="007918DA"/>
    <w:rsid w:val="00874FFD"/>
    <w:rsid w:val="008D5464"/>
    <w:rsid w:val="008D649F"/>
    <w:rsid w:val="00920103"/>
    <w:rsid w:val="00926283"/>
    <w:rsid w:val="0092643A"/>
    <w:rsid w:val="009E25D0"/>
    <w:rsid w:val="00B3776C"/>
    <w:rsid w:val="00B77001"/>
    <w:rsid w:val="00B834E4"/>
    <w:rsid w:val="00BA2F3E"/>
    <w:rsid w:val="00D1357C"/>
    <w:rsid w:val="00DF5817"/>
    <w:rsid w:val="00F0195A"/>
    <w:rsid w:val="00F0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ED97"/>
  <w15:chartTrackingRefBased/>
  <w15:docId w15:val="{98047DB9-56F0-4275-9FBC-E470B352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un\Desktop\Draf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[Draft.xlsx]Sheet1!PivotTable2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8: Outcome by Countries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Sheet1!$B$21:$B$22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Sheet1!$A$23:$A$44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Sheet1!$B$23:$B$44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0D-43B9-8CBC-F7C5DB13CFA5}"/>
            </c:ext>
          </c:extLst>
        </c:ser>
        <c:ser>
          <c:idx val="1"/>
          <c:order val="1"/>
          <c:tx>
            <c:strRef>
              <c:f>Sheet1!$C$21:$C$22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Sheet1!$A$23:$A$44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Sheet1!$C$23:$C$44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0D-43B9-8CBC-F7C5DB13CFA5}"/>
            </c:ext>
          </c:extLst>
        </c:ser>
        <c:ser>
          <c:idx val="2"/>
          <c:order val="2"/>
          <c:tx>
            <c:strRef>
              <c:f>Sheet1!$D$21:$D$22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Sheet1!$A$23:$A$44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Sheet1!$D$23:$D$44</c:f>
              <c:numCache>
                <c:formatCode>General</c:formatCode>
                <c:ptCount val="21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0D-43B9-8CBC-F7C5DB13CFA5}"/>
            </c:ext>
          </c:extLst>
        </c:ser>
        <c:ser>
          <c:idx val="3"/>
          <c:order val="3"/>
          <c:tx>
            <c:strRef>
              <c:f>Sheet1!$E$21:$E$22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Sheet1!$A$23:$A$44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Sheet1!$E$23:$E$44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0D-43B9-8CBC-F7C5DB13CF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78071256"/>
        <c:axId val="678069944"/>
      </c:barChart>
      <c:catAx>
        <c:axId val="678071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069944"/>
        <c:crosses val="autoZero"/>
        <c:auto val="1"/>
        <c:lblAlgn val="ctr"/>
        <c:lblOffset val="100"/>
        <c:noMultiLvlLbl val="0"/>
      </c:catAx>
      <c:valAx>
        <c:axId val="678069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071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Melody Yunchen</dc:creator>
  <cp:keywords/>
  <dc:description/>
  <cp:lastModifiedBy>Zhang Melody Yunchen</cp:lastModifiedBy>
  <cp:revision>6</cp:revision>
  <dcterms:created xsi:type="dcterms:W3CDTF">2018-04-16T04:12:00Z</dcterms:created>
  <dcterms:modified xsi:type="dcterms:W3CDTF">2018-04-16T18:20:00Z</dcterms:modified>
</cp:coreProperties>
</file>