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2: Design Contexts and Connections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11</w:t>
      </w:r>
    </w:p>
    <w:p>
      <w:pPr>
        <w:jc w:val="center"/>
      </w:pPr>
      <w:r>
        <w:rPr>
          <w:i/>
          <w:sz w:val="21"/>
        </w:rPr>
        <w:t>Student Workbook — all practice for this unit</w:t>
      </w:r>
    </w:p>
    <w:p/>
    <w:p>
      <w:pPr>
        <w:pStyle w:val="Heading2"/>
      </w:pPr>
      <w:r>
        <w:rPr>
          <w:color w:val="1F3A5F"/>
        </w:rPr>
        <w:t>My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86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Activity 1: Trend Factors — Match the Example</w:t>
      </w:r>
    </w:p>
    <w:p>
      <w:pPr>
        <w:pStyle w:val="ListBullet"/>
      </w:pPr>
      <w:r>
        <w:t>Activity 2: Analyse a Trend Across the 4 Fields</w:t>
      </w:r>
    </w:p>
    <w:p>
      <w:pPr>
        <w:pStyle w:val="ListBullet"/>
      </w:pPr>
      <w:r>
        <w:t>Activity 3: Trend or Fad?</w:t>
      </w:r>
    </w:p>
    <w:p>
      <w:pPr>
        <w:pStyle w:val="ListBullet"/>
      </w:pPr>
      <w:r>
        <w:t>Activity 4: Collaboration Roles — Match the Description</w:t>
      </w:r>
    </w:p>
    <w:p>
      <w:pPr>
        <w:pStyle w:val="ListBullet"/>
      </w:pPr>
      <w:r>
        <w:t>Activity 5: Intellectual Property — Fill the Table</w:t>
      </w:r>
    </w:p>
    <w:p>
      <w:pPr>
        <w:pStyle w:val="ListBullet"/>
      </w:pPr>
      <w:r>
        <w:t>Activity 6: Short Analysis — Exam Practice</w:t>
      </w:r>
    </w:p>
    <w:p>
      <w:pPr>
        <w:pStyle w:val="ListBullet"/>
      </w:pPr>
      <w:r>
        <w:t>Activity 7: Extended Response — Case Study</w:t>
      </w:r>
    </w:p>
    <w:p>
      <w:pPr>
        <w:pStyle w:val="ListBullet"/>
      </w:pPr>
      <w:r>
        <w:t>Activity 8: Reflection — What I Know</w:t>
      </w:r>
    </w:p>
    <w:p>
      <w:r>
        <w:rPr>
          <w:b/>
          <w:color w:val="1F3A5F"/>
        </w:rPr>
        <w:t>Total marks available: 68</w:t>
      </w:r>
    </w:p>
    <w:p>
      <w:r>
        <w:br w:type="page"/>
      </w:r>
    </w:p>
    <w:p>
      <w:pPr>
        <w:pStyle w:val="Heading1"/>
      </w:pPr>
      <w:r>
        <w:rPr>
          <w:color w:val="1F3A5F"/>
        </w:rPr>
        <w:t>Activity 1: Trend Factors — Match the Example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 xml:space="preserve">Draw a line connecting each </w:t>
      </w:r>
      <w:r>
        <w:rPr>
          <w:b/>
          <w:i/>
          <w:color w:val="404040"/>
        </w:rPr>
        <w:t>factor</w:t>
      </w:r>
      <w:r>
        <w:rPr>
          <w:b w:val="0"/>
          <w:i/>
          <w:color w:val="404040"/>
        </w:rPr>
        <w:t xml:space="preserve"> to the example that best illustrates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t>Social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New AI image-generation tools change how illustrators produce concept art</w:t>
            </w:r>
          </w:p>
        </w:tc>
      </w:tr>
      <w:tr>
        <w:tc>
          <w:tcPr>
            <w:tcW w:type="dxa" w:w="3324"/>
          </w:tcPr>
          <w:p>
            <w:r>
              <w:t>Cultural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Rising material costs push packaging designers toward cheaper substrates</w:t>
            </w:r>
          </w:p>
        </w:tc>
      </w:tr>
      <w:tr>
        <w:tc>
          <w:tcPr>
            <w:tcW w:type="dxa" w:w="3324"/>
          </w:tcPr>
          <w:p>
            <w:r>
              <w:t>Economic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Remote work reshapes how office interiors are designed</w:t>
            </w:r>
          </w:p>
        </w:tc>
      </w:tr>
      <w:tr>
        <w:tc>
          <w:tcPr>
            <w:tcW w:type="dxa" w:w="3324"/>
          </w:tcPr>
          <w:p>
            <w:r>
              <w:t>Technological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Growing concern about landfill waste drives biodegradable packaging design</w:t>
            </w:r>
          </w:p>
        </w:tc>
      </w:tr>
      <w:tr>
        <w:tc>
          <w:tcPr>
            <w:tcW w:type="dxa" w:w="3324"/>
          </w:tcPr>
          <w:p>
            <w:r>
              <w:t>Environmental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E A resurgence of interest in Indigenous motifs in Australian branding</w:t>
            </w:r>
          </w:p>
        </w:tc>
      </w:tr>
    </w:tbl>
    <w:p/>
    <w:p/>
    <w:p>
      <w:pPr>
        <w:pStyle w:val="Heading1"/>
      </w:pPr>
      <w:r>
        <w:rPr>
          <w:color w:val="1F3A5F"/>
        </w:rPr>
        <w:t>Activity 2: Analyse a Trend Across the 4 Fields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Choose ONE current design trend. Complete the table showing how it appears in each design field.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Design Field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How the trend appears in this field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Communication Design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Environmental Design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Industrial Design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Interaction Design</w:t>
            </w:r>
          </w:p>
        </w:tc>
        <w:tc>
          <w:tcPr>
            <w:tcW w:type="dxa" w:w="4986"/>
            <w:shd w:val="clear" w:color="auto" w:fill="FAFAFA"/>
          </w:tcPr>
          <w:p/>
        </w:tc>
      </w:tr>
    </w:tbl>
    <w:p/>
    <w:p>
      <w:pPr>
        <w:ind w:left="283"/>
      </w:pPr>
      <w:r>
        <w:rPr>
          <w:b w:val="0"/>
          <w:i/>
          <w:color w:val="404040"/>
        </w:rPr>
        <w:t>Which factor(s) — social, cultural, economic, technological, environmental — is driving this trend? Explain in one sentence.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3: Trend or Fad?</w:t>
      </w:r>
    </w:p>
    <w:p>
      <w:r>
        <w:rPr>
          <w:b/>
          <w:color w:val="1F3A5F"/>
        </w:rPr>
        <w:t>Marks available: 8 marks</w:t>
      </w:r>
    </w:p>
    <w:p>
      <w:pPr>
        <w:ind w:left="283"/>
      </w:pPr>
      <w:r>
        <w:rPr>
          <w:b w:val="0"/>
          <w:i/>
          <w:color w:val="404040"/>
        </w:rPr>
        <w:t xml:space="preserve">For each scenario, circle </w:t>
      </w:r>
      <w:r>
        <w:rPr>
          <w:b/>
          <w:i/>
          <w:color w:val="404040"/>
        </w:rPr>
        <w:t>Trend</w:t>
      </w:r>
      <w:r>
        <w:rPr>
          <w:b w:val="0"/>
          <w:i/>
          <w:color w:val="404040"/>
        </w:rPr>
        <w:t xml:space="preserve"> or </w:t>
      </w:r>
      <w:r>
        <w:rPr>
          <w:b/>
          <w:i/>
          <w:color w:val="404040"/>
        </w:rPr>
        <w:t>Fad</w:t>
      </w:r>
      <w:r>
        <w:rPr>
          <w:b w:val="0"/>
          <w:i/>
          <w:color w:val="404040"/>
        </w:rPr>
        <w:t xml:space="preserve"> and justify your answer in one sentence.</w:t>
      </w:r>
    </w:p>
    <w:p>
      <w:r>
        <w:rPr>
          <w:b/>
        </w:rPr>
        <w:t xml:space="preserve">1. A single novelty phone case design goes viral for a few weeks on social media. </w:t>
      </w:r>
      <w:r>
        <w:rPr>
          <w:b/>
        </w:rPr>
        <w:t>Trend / Fad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2. Minimalism has steadily influenced logo design, architecture and product design for over a decade. </w:t>
      </w:r>
      <w:r>
        <w:rPr>
          <w:b/>
        </w:rPr>
        <w:t>Trend / Fad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3. A particular meme-inspired filter briefly appears on packaging before disappearing within a month. </w:t>
      </w:r>
      <w:r>
        <w:rPr>
          <w:b/>
        </w:rPr>
        <w:t>Trend / Fad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4. Sustainable packaging has grown steadily across multiple design fields for several years, driven by environmental concern. </w:t>
      </w:r>
      <w:r>
        <w:rPr>
          <w:b/>
        </w:rPr>
        <w:t>Trend / Fad</w:t>
      </w: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4: Collaboration Roles — Match the Description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>Match each role to its correct description in the design industry.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t>Client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Turns a design into physical or coded reality using their production expertise</w:t>
            </w:r>
          </w:p>
        </w:tc>
      </w:tr>
      <w:tr>
        <w:tc>
          <w:tcPr>
            <w:tcW w:type="dxa" w:w="3324"/>
          </w:tcPr>
          <w:p>
            <w:r>
              <w:t>Manufacturer / Builder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Provides the design brief, feedback and funding for the project</w:t>
            </w:r>
          </w:p>
        </w:tc>
      </w:tr>
      <w:tr>
        <w:tc>
          <w:tcPr>
            <w:tcW w:type="dxa" w:w="3324"/>
          </w:tcPr>
          <w:p>
            <w:r>
              <w:t>Other designer / specialist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Delivers the finished design to its final audience</w:t>
            </w:r>
          </w:p>
        </w:tc>
      </w:tr>
      <w:tr>
        <w:tc>
          <w:tcPr>
            <w:tcW w:type="dxa" w:w="3324"/>
          </w:tcPr>
          <w:p>
            <w:r>
              <w:t>Marketing / Developer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Brings expertise in a different design field to the same project</w:t>
            </w:r>
          </w:p>
        </w:tc>
      </w:tr>
    </w:tbl>
    <w:p/>
    <w:p/>
    <w:p>
      <w:pPr>
        <w:pStyle w:val="Heading1"/>
      </w:pPr>
      <w:r>
        <w:rPr>
          <w:color w:val="1F3A5F"/>
        </w:rPr>
        <w:t>Activity 5: Intellectual Property — Fill the Table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Complete the table with the missing information about each type of intellectual property protection.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IP Type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What it protects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Copyright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Trademark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Design registration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Patent</w:t>
            </w:r>
          </w:p>
        </w:tc>
        <w:tc>
          <w:tcPr>
            <w:tcW w:type="dxa" w:w="3324"/>
            <w:shd w:val="clear" w:color="auto" w:fill="FAFAFA"/>
          </w:tcPr>
          <w:p/>
        </w:tc>
        <w:tc>
          <w:tcPr>
            <w:tcW w:type="dxa" w:w="3324"/>
            <w:shd w:val="clear" w:color="auto" w:fill="FAFAFA"/>
          </w:tcPr>
          <w:p/>
        </w:tc>
      </w:tr>
    </w:tbl>
    <w:p/>
    <w:p>
      <w:pPr>
        <w:ind w:left="283"/>
      </w:pPr>
      <w:r>
        <w:rPr>
          <w:b w:val="0"/>
          <w:i/>
          <w:color w:val="404040"/>
        </w:rPr>
        <w:t>Explain in one sentence why intellectual property law is relevant to your own VCD folio work.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6: Short Analysis — Exam Practice</w:t>
      </w:r>
    </w:p>
    <w:p>
      <w:r>
        <w:rPr>
          <w:b/>
          <w:color w:val="1F3A5F"/>
        </w:rPr>
        <w:t>Marks available: 6 marks (2 marks each)</w:t>
      </w:r>
    </w:p>
    <w:p>
      <w:pPr>
        <w:ind w:left="283"/>
      </w:pPr>
      <w:r>
        <w:rPr>
          <w:b w:val="0"/>
          <w:i/>
          <w:color w:val="404040"/>
        </w:rPr>
        <w:t xml:space="preserve">For each scenario, write a </w:t>
      </w:r>
      <w:r>
        <w:rPr>
          <w:b/>
          <w:i/>
          <w:color w:val="404040"/>
        </w:rPr>
        <w:t>2-mark response</w:t>
      </w:r>
      <w:r>
        <w:rPr>
          <w:b w:val="0"/>
          <w:i/>
          <w:color w:val="404040"/>
        </w:rPr>
        <w:t xml:space="preserve"> naming the relevant factor or IP type and explaining its relevance.</w:t>
      </w:r>
    </w:p>
    <w:p>
      <w:r>
        <w:rPr>
          <w:b/>
        </w:rPr>
        <w:t>1. A furniture brand switches to biodegradable packaging after customer complaints about landfill waste.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2. A start-up discovers a competitor has copied their logo almost exactly and seeks legal advice.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3. An architecture firm begins using generative software to explore hundreds of building forms overnight.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7: Extended Response — Case Study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>Read the case study below. Write an extended response (approx. 4–5 sentences) identifying ONE trend and ONE industry connection, and explaining the factors behind each.</w:t>
      </w:r>
    </w:p>
    <w:p>
      <w:r>
        <w:rPr>
          <w:b w:val="0"/>
        </w:rPr>
        <w:t xml:space="preserve"> </w:t>
      </w:r>
      <w:r>
        <w:rPr>
          <w:b w:val="0"/>
        </w:rPr>
        <w:t>Case Study:</w:t>
      </w:r>
      <w:r>
        <w:rPr>
          <w:b w:val="0"/>
        </w:rPr>
        <w:t xml:space="preserve"> </w:t>
      </w:r>
      <w:r>
        <w:rPr>
          <w:b w:val="0"/>
        </w:rPr>
        <w:t>A furniture company launches a new modular chair made from recycled ocean plastic. The chair was designed collaboratively between an industrial designer and a materials engineer, and its packaging was created by a separate communication design studio using only recyclable cardboard and soy-based ink. The company also trademarked the chair's distinctive silhouette to prevent competitors from copying its design.</w:t>
      </w:r>
      <w:r>
        <w:rPr>
          <w:b w:val="0"/>
        </w:rPr>
        <w:t xml:space="preserve"> 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9F3EC"/>
          </w:tcPr>
          <w:p>
            <w:r>
              <w:rPr>
                <w:b/>
                <w:color w:val="1F4B3F"/>
              </w:rPr>
              <w:t>Model response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</w:rPr>
              <w:t xml:space="preserve">This case study reflects the </w:t>
            </w:r>
            <w:r>
              <w:rPr>
                <w:b/>
              </w:rPr>
              <w:t>sustainability trend</w:t>
            </w:r>
            <w:r>
              <w:rPr>
                <w:b w:val="0"/>
              </w:rPr>
              <w:t xml:space="preserve">, driven primarily by environmental factors — evident in the use of recycled ocean plastic for the chair and recyclable, soy-ink packaging, both responding to growing consumer concern about waste and material sourcing. It also demonstrates </w:t>
            </w:r>
            <w:r>
              <w:rPr>
                <w:b/>
              </w:rPr>
              <w:t>industry collaboration</w:t>
            </w:r>
            <w:r>
              <w:rPr>
                <w:b w:val="0"/>
              </w:rPr>
              <w:t xml:space="preserve">, with the industrial designer working alongside a materials engineer to solve the technical challenge of working with recycled plastic, and a separate communication design studio handling the packaging — showing how a single product relies on multiple specialists across different design fields. Finally, the company's decision to trademark the chair's silhouette highlights the role of </w:t>
            </w:r>
            <w:r>
              <w:rPr>
                <w:b/>
              </w:rPr>
              <w:t>intellectual property</w:t>
            </w:r>
            <w:r>
              <w:rPr>
                <w:b w:val="0"/>
              </w:rPr>
              <w:t xml:space="preserve"> in protecting original design work from being copied once it reaches the market.</w:t>
            </w:r>
          </w:p>
        </w:tc>
      </w:tr>
    </w:tbl>
    <w:p/>
    <w:p/>
    <w:p>
      <w:pPr>
        <w:pStyle w:val="Heading1"/>
      </w:pPr>
      <w:r>
        <w:rPr>
          <w:color w:val="1F3A5F"/>
        </w:rPr>
        <w:t>Activity 8: Reflection — What I Know</w:t>
      </w:r>
    </w:p>
    <w:p>
      <w:pPr>
        <w:ind w:left="283"/>
      </w:pPr>
      <w:r>
        <w:rPr>
          <w:b w:val="0"/>
          <w:i/>
          <w:color w:val="404040"/>
        </w:rPr>
        <w:t>Use this page to reflect on your learning so far. Be honest — this helps you study smarter!</w:t>
      </w:r>
    </w:p>
    <w:p>
      <w:pPr>
        <w:pStyle w:val="Heading2"/>
      </w:pPr>
      <w:r>
        <w:rPr>
          <w:color w:val="1F3A5F"/>
        </w:rPr>
        <w:t>Confidence Check</w:t>
      </w:r>
    </w:p>
    <w:p>
      <w:r>
        <w:rPr>
          <w:b w:val="0"/>
        </w:rPr>
        <w:t>Rate your confidence (1 = not sure · 3 = confident · 5 = could teach it):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Rating (circle one)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What I'm unsure about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</w:rPr>
              <w:t>The 5 factors that drive design trends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Distinguishing a trend from a fad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Collaboration roles in the design industry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Intellectual property types (copyright, trademark, design registration, patent)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Writing an extended design-industry response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</w:tbl>
    <w:p/>
    <w:p>
      <w:pPr>
        <w:pStyle w:val="Heading2"/>
      </w:pPr>
      <w:r>
        <w:rPr>
          <w:color w:val="1F3A5F"/>
        </w:rPr>
        <w:t>My Learning Goals</w:t>
      </w:r>
    </w:p>
    <w:p>
      <w:pPr>
        <w:ind w:left="283"/>
      </w:pPr>
      <w:r>
        <w:rPr>
          <w:b w:val="0"/>
          <w:i/>
          <w:color w:val="404040"/>
        </w:rPr>
        <w:t>Before next lesson, I will review / practise: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2"/>
      </w:pPr>
      <w:r>
        <w:rPr>
          <w:color w:val="1F3A5F"/>
        </w:rPr>
        <w:t>One thing I found surprising or interesting: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2"/>
      </w:pPr>
      <w:r>
        <w:rPr>
          <w:color w:val="1F3A5F"/>
        </w:rPr>
        <w:t>My key vocab list (write 10 design terms you want to remember):</w:t>
      </w:r>
    </w:p>
    <w:p>
      <w:r>
        <w:rPr>
          <w:b w:val="0"/>
        </w:rPr>
        <w:t>1.</w:t>
      </w:r>
    </w:p>
    <w:p>
      <w:r>
        <w:rPr>
          <w:b w:val="0"/>
        </w:rPr>
        <w:t>2.</w:t>
      </w:r>
    </w:p>
    <w:p>
      <w:r>
        <w:rPr>
          <w:b w:val="0"/>
        </w:rPr>
        <w:t>3.</w:t>
      </w:r>
    </w:p>
    <w:p>
      <w:r>
        <w:rPr>
          <w:b w:val="0"/>
        </w:rPr>
        <w:t>4.</w:t>
      </w:r>
    </w:p>
    <w:p>
      <w:r>
        <w:rPr>
          <w:b w:val="0"/>
        </w:rPr>
        <w:t>5.</w:t>
      </w:r>
    </w:p>
    <w:p>
      <w:r>
        <w:rPr>
          <w:b w:val="0"/>
        </w:rPr>
        <w:t>6.</w:t>
      </w:r>
    </w:p>
    <w:p>
      <w:r>
        <w:rPr>
          <w:b w:val="0"/>
        </w:rPr>
        <w:t>7.</w:t>
      </w:r>
    </w:p>
    <w:p>
      <w:r>
        <w:rPr>
          <w:b w:val="0"/>
        </w:rPr>
        <w:t>8.</w:t>
      </w:r>
    </w:p>
    <w:p>
      <w:r>
        <w:rPr>
          <w:b w:val="0"/>
        </w:rPr>
        <w:t>9.</w:t>
      </w:r>
    </w:p>
    <w:p>
      <w:r>
        <w:rPr>
          <w:b w:val="0"/>
        </w:rPr>
        <w:t>10.</w:t>
      </w:r>
    </w:p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2 Workbook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