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3: Reconceptualisation and Reinvention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12, Semester 1</w:t>
      </w:r>
    </w:p>
    <w:p>
      <w:pPr>
        <w:jc w:val="center"/>
      </w:pPr>
      <w:r>
        <w:rPr>
          <w:i/>
          <w:sz w:val="21"/>
        </w:rPr>
        <w:t>Scope &amp; Sequence — approx. 20 teaching weeks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term planner. Adjust week counts to your school's calendar, SAC schedule and timetable; confirm SAC placement against your school's assessment schedule and the current VCAA VCD Study Design before use.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2948"/>
        <w:gridCol w:w="2948"/>
        <w:gridCol w:w="2551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Resources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overview; folio requirements for Units 3 &amp; 4; exam format overview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Analysis framework I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Analysis &amp; Reinterpretation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Analysis framework II — reconceptualisation vs reinvention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Analysis &amp; Reinterpretation Slides/Handout; Unit 3 Workbook A1-A2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Methods of reinterpretation + Extended Knowledge: semiotics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Workbook A3; 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Icon/index/symbol, denotation/connotation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select and analyse an existing design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1 preparation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AOS1 SAC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1 (Outcome 1): analysis + reinterpretation proposal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The brief and ideation I — deconstructing a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The Brief &amp; Ideation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The brief and ideation II — writing your own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The Brief &amp; Ideation Slides/Handout; Unit 3 Workbook A4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research for the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Audience, visual and contextual research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generation of Concept 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Thumbnails, ideation methods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generation of Concept 2 (must be genuinely distinct)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Workbook A5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Knowledge: grid systems and layout theory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refine both concepts, peer/teacher feedback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practice — Unit 3 style questions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Workbook A6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continue concept development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Teacher check-ins / milestone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prepare folio documentation of process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2 preparation — consolidate brief + two concepts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AOS2 SAC submission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2 (Outcome 2): brief + range of ideas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Mid-year exam revision — Units 1-3 content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3 Workbook A7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Folio review; select concept to resolve; transition to Unit 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3 Scope &amp; Sequence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