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Design History</w:t>
      </w:r>
    </w:p>
    <w:p>
      <w:r>
        <w:rPr>
          <w:b w:val="0"/>
        </w:rPr>
        <w:t>VCE Visual Communication Design · Key Movements · VCAA 2024</w:t>
      </w:r>
    </w:p>
    <w:p>
      <w:pPr>
        <w:pStyle w:val="Heading1"/>
      </w:pPr>
      <w:r>
        <w:rPr>
          <w:color w:val="1F3A5F"/>
        </w:rPr>
        <w:t>Timeline of Major Design Movements</w:t>
      </w:r>
    </w:p>
    <w:p>
      <w:r>
        <w:rPr>
          <w:b w:val="0"/>
        </w:rPr>
        <w:t>1919–33</w:t>
      </w:r>
      <w:r>
        <w:rPr>
          <w:b w:val="0"/>
        </w:rPr>
        <w:t xml:space="preserve"> </w:t>
      </w:r>
      <w:r>
        <w:rPr>
          <w:b w:val="0"/>
        </w:rPr>
        <w:t>Bauhaus</w:t>
      </w:r>
      <w:r>
        <w:rPr>
          <w:b w:val="0"/>
        </w:rPr>
        <w:t xml:space="preserve"> </w:t>
      </w:r>
      <w:r>
        <w:rPr>
          <w:b w:val="0"/>
        </w:rPr>
        <w:t>Form follows function</w:t>
      </w:r>
    </w:p>
    <w:p>
      <w:r>
        <w:rPr>
          <w:b w:val="0"/>
        </w:rPr>
        <w:t>1930s–40s</w:t>
      </w:r>
      <w:r>
        <w:rPr>
          <w:b w:val="0"/>
        </w:rPr>
        <w:t xml:space="preserve"> </w:t>
      </w:r>
      <w:r>
        <w:rPr>
          <w:b w:val="0"/>
        </w:rPr>
        <w:t>Art Deco</w:t>
      </w:r>
      <w:r>
        <w:rPr>
          <w:b w:val="0"/>
        </w:rPr>
        <w:t xml:space="preserve"> </w:t>
      </w:r>
      <w:r>
        <w:rPr>
          <w:b w:val="0"/>
        </w:rPr>
        <w:t>Luxury &amp; geometry</w:t>
      </w:r>
    </w:p>
    <w:p>
      <w:r>
        <w:rPr>
          <w:b w:val="0"/>
        </w:rPr>
        <w:t>1950s–70s</w:t>
      </w:r>
      <w:r>
        <w:rPr>
          <w:b w:val="0"/>
        </w:rPr>
        <w:t xml:space="preserve"> </w:t>
      </w:r>
      <w:r>
        <w:rPr>
          <w:b w:val="0"/>
        </w:rPr>
        <w:t>Swiss / Intl</w:t>
      </w:r>
      <w:r>
        <w:rPr>
          <w:b w:val="0"/>
        </w:rPr>
        <w:t xml:space="preserve"> </w:t>
      </w:r>
      <w:r>
        <w:rPr>
          <w:b w:val="0"/>
        </w:rPr>
        <w:t>Grid &amp; objectivity</w:t>
      </w:r>
    </w:p>
    <w:p>
      <w:r>
        <w:rPr>
          <w:b w:val="0"/>
        </w:rPr>
        <w:t>1960s</w:t>
      </w:r>
      <w:r>
        <w:rPr>
          <w:b w:val="0"/>
        </w:rPr>
        <w:t xml:space="preserve"> </w:t>
      </w:r>
      <w:r>
        <w:rPr>
          <w:b w:val="0"/>
        </w:rPr>
        <w:t>Pop Art</w:t>
      </w:r>
      <w:r>
        <w:rPr>
          <w:b w:val="0"/>
        </w:rPr>
        <w:t xml:space="preserve"> </w:t>
      </w:r>
      <w:r>
        <w:rPr>
          <w:b w:val="0"/>
        </w:rPr>
        <w:t>Mass culture imagery</w:t>
      </w:r>
    </w:p>
    <w:p>
      <w:r>
        <w:rPr>
          <w:b w:val="0"/>
        </w:rPr>
        <w:t>1980s–90s</w:t>
      </w:r>
      <w:r>
        <w:rPr>
          <w:b w:val="0"/>
        </w:rPr>
        <w:t xml:space="preserve"> </w:t>
      </w:r>
      <w:r>
        <w:rPr>
          <w:b w:val="0"/>
        </w:rPr>
        <w:t>Postmodernism</w:t>
      </w:r>
      <w:r>
        <w:rPr>
          <w:b w:val="0"/>
        </w:rPr>
        <w:t xml:space="preserve"> </w:t>
      </w:r>
      <w:r>
        <w:rPr>
          <w:b w:val="0"/>
        </w:rPr>
        <w:t>Rules are broken</w:t>
      </w:r>
    </w:p>
    <w:p>
      <w:r>
        <w:rPr>
          <w:b w:val="0"/>
        </w:rPr>
        <w:t>2000s–now</w:t>
      </w:r>
      <w:r>
        <w:rPr>
          <w:b w:val="0"/>
        </w:rPr>
        <w:t xml:space="preserve"> </w:t>
      </w:r>
      <w:r>
        <w:rPr>
          <w:b w:val="0"/>
        </w:rPr>
        <w:t>Digital / Flat</w:t>
      </w:r>
      <w:r>
        <w:rPr>
          <w:b w:val="0"/>
        </w:rPr>
        <w:t xml:space="preserve"> </w:t>
      </w:r>
      <w:r>
        <w:rPr>
          <w:b w:val="0"/>
        </w:rPr>
        <w:t>Screen-first design</w:t>
      </w:r>
    </w:p>
    <w:p>
      <w:pPr>
        <w:pStyle w:val="Heading2"/>
      </w:pPr>
      <w:r>
        <w:rPr>
          <w:color w:val="1F3A5F"/>
        </w:rPr>
        <w:t>Bauhaus</w:t>
      </w:r>
    </w:p>
    <w:p>
      <w:r>
        <w:rPr>
          <w:b w:val="0"/>
        </w:rPr>
        <w:t>Germany · 1919–1933</w:t>
      </w:r>
    </w:p>
    <w:p>
      <w:r>
        <w:rPr>
          <w:b w:val="0"/>
        </w:rPr>
        <w:t xml:space="preserve">A German design school that unified fine art, craft, and industrial manufacturing under the philosophy: </w:t>
      </w:r>
      <w:r>
        <w:rPr>
          <w:b w:val="0"/>
          <w:i/>
        </w:rPr>
        <w:t>"form follows function."</w:t>
      </w:r>
      <w:r>
        <w:rPr>
          <w:b w:val="0"/>
        </w:rPr>
        <w:t xml:space="preserve"> Bauhaus sought to make good design accessible to all through mass production.</w:t>
      </w:r>
    </w:p>
    <w:p>
      <w:pPr>
        <w:pStyle w:val="ListBullet"/>
      </w:pPr>
      <w:r>
        <w:rPr>
          <w:b w:val="0"/>
        </w:rPr>
        <w:t>Geometric, simplified forms</w:t>
      </w:r>
    </w:p>
    <w:p>
      <w:pPr>
        <w:pStyle w:val="ListBullet"/>
      </w:pPr>
      <w:r>
        <w:rPr>
          <w:b w:val="0"/>
        </w:rPr>
        <w:t>Primary colours (red, yellow, blue)</w:t>
      </w:r>
    </w:p>
    <w:p>
      <w:pPr>
        <w:pStyle w:val="ListBullet"/>
      </w:pPr>
      <w:r>
        <w:rPr>
          <w:b w:val="0"/>
        </w:rPr>
        <w:t>Sans-serif typography (Universal typeface)</w:t>
      </w:r>
    </w:p>
    <w:p>
      <w:pPr>
        <w:pStyle w:val="ListBullet"/>
      </w:pPr>
      <w:r>
        <w:rPr>
          <w:b w:val="0"/>
        </w:rPr>
        <w:t>Rejection of unnecessary ornament</w:t>
      </w:r>
    </w:p>
    <w:p>
      <w:pPr>
        <w:pStyle w:val="ListBullet"/>
      </w:pPr>
      <w:r>
        <w:rPr>
          <w:b w:val="0"/>
        </w:rPr>
        <w:t>Unity of art, craft, and technology</w:t>
      </w:r>
    </w:p>
    <w:p>
      <w:pPr>
        <w:pStyle w:val="ListBullet"/>
      </w:pPr>
      <w:r>
        <w:rPr>
          <w:b w:val="0"/>
        </w:rPr>
        <w:t>Grid-based composition</w:t>
      </w:r>
    </w:p>
    <w:p>
      <w:r>
        <w:rPr>
          <w:b w:val="0"/>
        </w:rPr>
        <w:t>Key figures: Walter Gropius (founder), László Moholy-Nagy, Herbert Bayer, Marcel Breuer, Paul Klee, Wassily Kandinsky</w:t>
      </w:r>
    </w:p>
    <w:p>
      <w:r>
        <w:rPr>
          <w:b w:val="0"/>
        </w:rPr>
        <w:t>Notable works: Breuer's Wassily Chair, Bayer's Universal typeface, Kandinsky's colour/form theory</w:t>
      </w:r>
    </w:p>
    <w:p>
      <w:pPr>
        <w:pStyle w:val="Heading2"/>
      </w:pPr>
      <w:r>
        <w:rPr>
          <w:color w:val="1F3A5F"/>
        </w:rPr>
        <w:t>Swiss Style</w:t>
      </w:r>
    </w:p>
    <w:p>
      <w:r>
        <w:rPr>
          <w:b w:val="0"/>
        </w:rPr>
        <w:t>Switzerland/Germany · 1950s–1970s</w:t>
      </w:r>
    </w:p>
    <w:p>
      <w:r>
        <w:rPr>
          <w:b w:val="0"/>
        </w:rPr>
        <w:t xml:space="preserve">Also called the </w:t>
      </w:r>
      <w:r>
        <w:rPr>
          <w:b/>
        </w:rPr>
        <w:t>International Typographic Style</w:t>
      </w:r>
      <w:r>
        <w:rPr>
          <w:b w:val="0"/>
        </w:rPr>
        <w:t>. Developed in Zurich and Basel — emphasised mathematical grid systems, objective photography, and clean sans-serif typography to communicate universally.</w:t>
      </w:r>
    </w:p>
    <w:p>
      <w:pPr>
        <w:pStyle w:val="ListBullet"/>
      </w:pPr>
      <w:r>
        <w:rPr>
          <w:b w:val="0"/>
        </w:rPr>
        <w:t>Mathematical grid systems</w:t>
      </w:r>
    </w:p>
    <w:p>
      <w:pPr>
        <w:pStyle w:val="ListBullet"/>
      </w:pPr>
      <w:r>
        <w:rPr>
          <w:b w:val="0"/>
        </w:rPr>
        <w:t>Helvetica &amp; Akzidenz-Grotesk typefaces</w:t>
      </w:r>
    </w:p>
    <w:p>
      <w:pPr>
        <w:pStyle w:val="ListBullet"/>
      </w:pPr>
      <w:r>
        <w:rPr>
          <w:b w:val="0"/>
        </w:rPr>
        <w:t>Flush-left, ragged-right text</w:t>
      </w:r>
    </w:p>
    <w:p>
      <w:pPr>
        <w:pStyle w:val="ListBullet"/>
      </w:pPr>
      <w:r>
        <w:rPr>
          <w:b w:val="0"/>
        </w:rPr>
        <w:t>Objective photography (not illustration)</w:t>
      </w:r>
    </w:p>
    <w:p>
      <w:pPr>
        <w:pStyle w:val="ListBullet"/>
      </w:pPr>
      <w:r>
        <w:rPr>
          <w:b w:val="0"/>
        </w:rPr>
        <w:t>Asymmetric, structured layouts</w:t>
      </w:r>
    </w:p>
    <w:p>
      <w:pPr>
        <w:pStyle w:val="ListBullet"/>
      </w:pPr>
      <w:r>
        <w:rPr>
          <w:b w:val="0"/>
        </w:rPr>
        <w:t>Neutral, universal communication</w:t>
      </w:r>
    </w:p>
    <w:p>
      <w:r>
        <w:rPr>
          <w:b w:val="0"/>
        </w:rPr>
        <w:t>Key figures: Josef Müller-Brockmann, Armin Hofmann, Emil Ruder, Max Bill</w:t>
      </w:r>
    </w:p>
    <w:p>
      <w:r>
        <w:rPr>
          <w:b w:val="0"/>
        </w:rPr>
        <w:t>Notable works: Müller-Brockmann's concert posters, NYC subway signage system, Helvetica typeface (1957)</w:t>
      </w:r>
    </w:p>
    <w:p>
      <w:pPr>
        <w:pStyle w:val="Heading2"/>
      </w:pPr>
      <w:r>
        <w:rPr>
          <w:color w:val="1F3A5F"/>
        </w:rPr>
        <w:t>Postmodernism</w:t>
      </w:r>
    </w:p>
    <w:p>
      <w:r>
        <w:rPr>
          <w:b w:val="0"/>
        </w:rPr>
        <w:t>USA/Europe · 1980s–1990s</w:t>
      </w:r>
    </w:p>
    <w:p>
      <w:r>
        <w:rPr>
          <w:b w:val="0"/>
        </w:rPr>
        <w:t xml:space="preserve">A reaction against the rigid rationalism of Modernism/Swiss Style. Postmodern designers deliberately </w:t>
      </w:r>
      <w:r>
        <w:rPr>
          <w:b/>
        </w:rPr>
        <w:t>broke the rules</w:t>
      </w:r>
      <w:r>
        <w:rPr>
          <w:b w:val="0"/>
        </w:rPr>
        <w:t xml:space="preserve"> — mixing typefaces, layering images, using irony, historical references, and visual complexity.</w:t>
      </w:r>
    </w:p>
    <w:p>
      <w:pPr>
        <w:pStyle w:val="ListBullet"/>
      </w:pPr>
      <w:r>
        <w:rPr>
          <w:b w:val="0"/>
        </w:rPr>
        <w:t>Mixed typefaces and decorative fonts</w:t>
      </w:r>
    </w:p>
    <w:p>
      <w:pPr>
        <w:pStyle w:val="ListBullet"/>
      </w:pPr>
      <w:r>
        <w:rPr>
          <w:b w:val="0"/>
        </w:rPr>
        <w:t>Overlapping, layered compositions</w:t>
      </w:r>
    </w:p>
    <w:p>
      <w:pPr>
        <w:pStyle w:val="ListBullet"/>
      </w:pPr>
      <w:r>
        <w:rPr>
          <w:b w:val="0"/>
        </w:rPr>
        <w:t>Bright, clashing, unexpected colours</w:t>
      </w:r>
    </w:p>
    <w:p>
      <w:pPr>
        <w:pStyle w:val="ListBullet"/>
      </w:pPr>
      <w:r>
        <w:rPr>
          <w:b w:val="0"/>
        </w:rPr>
        <w:t>Historical references and pastiche</w:t>
      </w:r>
    </w:p>
    <w:p>
      <w:pPr>
        <w:pStyle w:val="ListBullet"/>
      </w:pPr>
      <w:r>
        <w:rPr>
          <w:b w:val="0"/>
        </w:rPr>
        <w:t>Irony, wit, and cultural commentary</w:t>
      </w:r>
    </w:p>
    <w:p>
      <w:pPr>
        <w:pStyle w:val="ListBullet"/>
      </w:pPr>
      <w:r>
        <w:rPr>
          <w:b w:val="0"/>
        </w:rPr>
        <w:t>No single "universal" design language</w:t>
      </w:r>
    </w:p>
    <w:p>
      <w:r>
        <w:rPr>
          <w:b w:val="0"/>
        </w:rPr>
        <w:t>Key figures: David Carson, Paula Scher, Neville Brody, April Greiman, Wolfgang Weingart</w:t>
      </w:r>
    </w:p>
    <w:p>
      <w:r>
        <w:rPr>
          <w:b w:val="0"/>
        </w:rPr>
        <w:t>Notable works: Ray Gun magazine (Carson), NYTM poster lettering (Scher), The Face magazine (Brody)</w:t>
      </w:r>
    </w:p>
    <w:p>
      <w:pPr>
        <w:pStyle w:val="Heading1"/>
      </w:pPr>
      <w:r>
        <w:rPr>
          <w:color w:val="1F3A5F"/>
        </w:rPr>
        <w:t>Key Movements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Movement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Typeface style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Colour palette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Layout approach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Core philosophy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Bauhaus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Geometric sans-serif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Primary colours + black/white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Grid-based, simplified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Form follows function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Swiss / Intl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Helvetica, clean sans-serif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Neutral, functional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Mathematical grid, asymmetric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Objectivity, universality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Postmodern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Mixed, decorative, expressive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Clashing, unexpected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Layered, rule-breaking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Plurality, irony, expression</w:t>
            </w:r>
          </w:p>
        </w:tc>
      </w:tr>
    </w:tbl>
    <w:p/>
    <w:p>
      <w:pPr>
        <w:pStyle w:val="Heading1"/>
      </w:pPr>
      <w:r>
        <w:rPr>
          <w:color w:val="1F3A5F"/>
        </w:rPr>
        <w:t>Discussing Design History in Exam Responses</w:t>
      </w:r>
    </w:p>
    <w:p>
      <w:pPr>
        <w:pStyle w:val="Heading4"/>
      </w:pPr>
      <w:r>
        <w:rPr>
          <w:color w:val="1F3A5F"/>
        </w:rPr>
        <w:t>How to connect a design to a historical movement</w:t>
      </w:r>
    </w:p>
    <w:p>
      <w:r>
        <w:rPr>
          <w:b w:val="0"/>
        </w:rPr>
        <w:t xml:space="preserve">"This poster reflects the </w:t>
      </w:r>
      <w:r>
        <w:rPr>
          <w:b/>
        </w:rPr>
        <w:t>Swiss International Style</w:t>
      </w:r>
      <w:r>
        <w:rPr>
          <w:b w:val="0"/>
        </w:rPr>
        <w:t xml:space="preserve"> through its use of a </w:t>
      </w:r>
      <w:r>
        <w:rPr>
          <w:b/>
        </w:rPr>
        <w:t>mathematical grid</w:t>
      </w:r>
      <w:r>
        <w:rPr>
          <w:b w:val="0"/>
        </w:rPr>
        <w:t xml:space="preserve"> to organise information, </w:t>
      </w:r>
      <w:r>
        <w:rPr>
          <w:b/>
        </w:rPr>
        <w:t>Helvetica</w:t>
      </w:r>
      <w:r>
        <w:rPr>
          <w:b w:val="0"/>
        </w:rPr>
        <w:t xml:space="preserve"> typeface for its neutral legibility, and </w:t>
      </w:r>
      <w:r>
        <w:rPr>
          <w:b/>
        </w:rPr>
        <w:t>objective photography</w:t>
      </w:r>
      <w:r>
        <w:rPr>
          <w:b w:val="0"/>
        </w:rPr>
        <w:t xml:space="preserve"> in place of illustration. These choices prioritise clarity and universal communication consistent with the movement's philosophy."</w:t>
      </w:r>
    </w:p>
    <w:p>
      <w:pPr>
        <w:pStyle w:val="Heading4"/>
      </w:pPr>
      <w:r>
        <w:rPr>
          <w:color w:val="1F3A5F"/>
        </w:rPr>
        <w:t>Discussing influence across movements</w:t>
      </w:r>
    </w:p>
    <w:p>
      <w:r>
        <w:rPr>
          <w:b w:val="0"/>
        </w:rPr>
        <w:t xml:space="preserve">"While the design draws on </w:t>
      </w:r>
      <w:r>
        <w:rPr>
          <w:b/>
        </w:rPr>
        <w:t>Bauhaus principles</w:t>
      </w:r>
      <w:r>
        <w:rPr>
          <w:b w:val="0"/>
        </w:rPr>
        <w:t xml:space="preserve"> in its geometric, simplified forms and use of primary colour, the overlapping typography and mixed type sizes suggest a </w:t>
      </w:r>
      <w:r>
        <w:rPr>
          <w:b/>
        </w:rPr>
        <w:t>postmodern influence</w:t>
      </w:r>
      <w:r>
        <w:rPr>
          <w:b w:val="0"/>
        </w:rPr>
        <w:t xml:space="preserve"> — using modernist visual language ironically rather than literally."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VCE VCD — Design History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